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629D16" w14:textId="77777777" w:rsidR="00275AE3" w:rsidRPr="00B669A0" w:rsidRDefault="00FB25EA" w:rsidP="00B669A0">
      <w:pPr>
        <w:spacing w:after="0"/>
        <w:jc w:val="center"/>
        <w:rPr>
          <w:b/>
          <w:bCs/>
          <w:lang w:val="en-GB"/>
        </w:rPr>
      </w:pPr>
      <w:r w:rsidRPr="00B669A0">
        <w:rPr>
          <w:b/>
          <w:bCs/>
          <w:lang w:val="en-GB"/>
        </w:rPr>
        <w:t>TARGETED STAKEHOLDER CONSULTATION 202</w:t>
      </w:r>
      <w:r w:rsidR="0038485A">
        <w:rPr>
          <w:b/>
          <w:bCs/>
          <w:lang w:val="en-GB"/>
        </w:rPr>
        <w:t>2</w:t>
      </w:r>
      <w:r w:rsidRPr="00B669A0">
        <w:rPr>
          <w:b/>
          <w:bCs/>
          <w:lang w:val="en-GB"/>
        </w:rPr>
        <w:t xml:space="preserve"> RULE OF LAW REPORT</w:t>
      </w:r>
    </w:p>
    <w:p w14:paraId="1C31150F" w14:textId="77777777" w:rsidR="00B669A0" w:rsidRPr="00B669A0" w:rsidRDefault="00FB25EA" w:rsidP="00B669A0">
      <w:pPr>
        <w:spacing w:after="0"/>
        <w:jc w:val="center"/>
        <w:rPr>
          <w:b/>
          <w:bCs/>
          <w:lang w:val="en-AU"/>
        </w:rPr>
      </w:pPr>
      <w:r w:rsidRPr="00B669A0">
        <w:rPr>
          <w:b/>
          <w:bCs/>
          <w:lang w:val="en-AU"/>
        </w:rPr>
        <w:t>UN HUMAN RIGHTS REGIONAL OFFICE FOR EUROPE (OHCHR)</w:t>
      </w:r>
    </w:p>
    <w:p w14:paraId="22019F8B" w14:textId="77777777" w:rsidR="00B669A0" w:rsidRPr="00B669A0" w:rsidRDefault="00B669A0" w:rsidP="00B669A0">
      <w:pPr>
        <w:spacing w:after="0"/>
        <w:rPr>
          <w:b/>
          <w:bCs/>
          <w:lang w:val="en-AU"/>
        </w:rPr>
      </w:pPr>
    </w:p>
    <w:p w14:paraId="33525FBA" w14:textId="77777777" w:rsidR="001B7CA2" w:rsidRPr="0002213A" w:rsidRDefault="00FB25EA" w:rsidP="00B669A0">
      <w:pPr>
        <w:pBdr>
          <w:bottom w:val="single" w:sz="4" w:space="1" w:color="auto"/>
        </w:pBdr>
        <w:rPr>
          <w:b/>
          <w:bCs/>
          <w:lang w:val="en-GB"/>
        </w:rPr>
      </w:pPr>
      <w:r>
        <w:rPr>
          <w:b/>
          <w:lang w:val="en-AU"/>
        </w:rPr>
        <w:t>CYPRUS</w:t>
      </w:r>
      <w:r w:rsidR="00B2081C">
        <w:rPr>
          <w:b/>
          <w:lang w:val="en-AU"/>
        </w:rPr>
        <w:t xml:space="preserve"> </w:t>
      </w:r>
      <w:r w:rsidR="00B669A0" w:rsidRPr="0002213A">
        <w:rPr>
          <w:b/>
          <w:bCs/>
          <w:lang w:val="en-AU"/>
        </w:rPr>
        <w:t>REVIEW</w:t>
      </w:r>
    </w:p>
    <w:p w14:paraId="6BA6108E" w14:textId="45D0F9D1" w:rsidR="00FF5A3B" w:rsidRPr="00714EF2" w:rsidRDefault="00FB25EA" w:rsidP="00714EF2">
      <w:pPr>
        <w:rPr>
          <w:lang w:val="en-GB"/>
        </w:rPr>
      </w:pPr>
      <w:r w:rsidRPr="001B7CA2">
        <w:rPr>
          <w:b/>
          <w:bCs/>
          <w:lang w:val="en-GB"/>
        </w:rPr>
        <w:t xml:space="preserve">I. Justice System </w:t>
      </w:r>
    </w:p>
    <w:p w14:paraId="2EF5AF2B" w14:textId="77777777" w:rsidR="001B7CA2" w:rsidRDefault="00FB25EA" w:rsidP="001B7CA2">
      <w:pPr>
        <w:rPr>
          <w:b/>
          <w:bCs/>
          <w:i/>
          <w:iCs/>
          <w:lang w:val="en-GB"/>
        </w:rPr>
      </w:pPr>
      <w:r w:rsidRPr="009D1508">
        <w:rPr>
          <w:b/>
          <w:bCs/>
          <w:i/>
          <w:iCs/>
          <w:lang w:val="en-GB"/>
        </w:rPr>
        <w:t xml:space="preserve">Other – please specify </w:t>
      </w:r>
    </w:p>
    <w:p w14:paraId="42C50CCA" w14:textId="51513E7A" w:rsidR="0088191B" w:rsidRDefault="003D60A3" w:rsidP="00C663DE">
      <w:pPr>
        <w:jc w:val="both"/>
        <w:rPr>
          <w:bCs/>
          <w:iCs/>
          <w:lang w:val="en-GB"/>
        </w:rPr>
      </w:pPr>
      <w:r w:rsidRPr="00972C51">
        <w:rPr>
          <w:b/>
          <w:bCs/>
          <w:iCs/>
          <w:lang w:val="en-GB"/>
        </w:rPr>
        <w:t>Reprisals</w:t>
      </w:r>
      <w:r w:rsidR="0088191B">
        <w:rPr>
          <w:b/>
          <w:bCs/>
          <w:i/>
          <w:iCs/>
          <w:lang w:val="en-GB"/>
        </w:rPr>
        <w:t xml:space="preserve"> - </w:t>
      </w:r>
      <w:r w:rsidR="00671D3D" w:rsidRPr="00671D3D">
        <w:rPr>
          <w:bCs/>
          <w:iCs/>
          <w:lang w:val="en-GB"/>
        </w:rPr>
        <w:t xml:space="preserve">In September 2021, the Rapporteur on </w:t>
      </w:r>
      <w:r w:rsidR="00FA0BA4">
        <w:rPr>
          <w:bCs/>
          <w:iCs/>
          <w:lang w:val="en-GB"/>
        </w:rPr>
        <w:t xml:space="preserve">reprisals under article 22 of </w:t>
      </w:r>
      <w:r w:rsidR="00671D3D" w:rsidRPr="00671D3D">
        <w:rPr>
          <w:bCs/>
          <w:iCs/>
          <w:lang w:val="en-GB"/>
        </w:rPr>
        <w:t xml:space="preserve">the Convention against Torture and Other Cruel, Inhuman or Degrading Treatment or Punishment </w:t>
      </w:r>
      <w:r w:rsidR="00671D3D" w:rsidRPr="00671D3D">
        <w:rPr>
          <w:bCs/>
          <w:iCs/>
          <w:lang w:val="en-US"/>
        </w:rPr>
        <w:t xml:space="preserve">entered in a dialogue with </w:t>
      </w:r>
      <w:r w:rsidR="00995B9C">
        <w:rPr>
          <w:bCs/>
          <w:iCs/>
          <w:lang w:val="en-US"/>
        </w:rPr>
        <w:t xml:space="preserve">the Republic of </w:t>
      </w:r>
      <w:r w:rsidR="00671D3D" w:rsidRPr="00671D3D">
        <w:rPr>
          <w:bCs/>
          <w:iCs/>
          <w:lang w:val="en-US"/>
        </w:rPr>
        <w:t xml:space="preserve">Cyprus about </w:t>
      </w:r>
      <w:r w:rsidR="00671D3D" w:rsidRPr="00671D3D">
        <w:rPr>
          <w:bCs/>
          <w:iCs/>
          <w:lang w:val="en-GB"/>
        </w:rPr>
        <w:t xml:space="preserve">the </w:t>
      </w:r>
      <w:r w:rsidR="009371A1">
        <w:rPr>
          <w:bCs/>
          <w:iCs/>
          <w:lang w:val="en-GB"/>
        </w:rPr>
        <w:t xml:space="preserve">alleged </w:t>
      </w:r>
      <w:r w:rsidR="00671D3D">
        <w:rPr>
          <w:bCs/>
          <w:iCs/>
          <w:lang w:val="en-GB"/>
        </w:rPr>
        <w:t>ill-</w:t>
      </w:r>
      <w:r w:rsidR="00671D3D" w:rsidRPr="00671D3D">
        <w:rPr>
          <w:bCs/>
          <w:iCs/>
          <w:lang w:val="en-GB"/>
        </w:rPr>
        <w:t xml:space="preserve">treatment of Mr Aleksei Demin in the Nicosia Central Prisons. </w:t>
      </w:r>
      <w:r w:rsidR="009371A1">
        <w:rPr>
          <w:bCs/>
          <w:iCs/>
          <w:lang w:val="en-GB"/>
        </w:rPr>
        <w:t xml:space="preserve">According to the letter, </w:t>
      </w:r>
      <w:r w:rsidR="00671D3D" w:rsidRPr="00671D3D">
        <w:rPr>
          <w:bCs/>
          <w:iCs/>
          <w:lang w:val="en-GB"/>
        </w:rPr>
        <w:t xml:space="preserve">Mr Demin had submitted a </w:t>
      </w:r>
      <w:r w:rsidR="00671D3D" w:rsidRPr="00C17610">
        <w:rPr>
          <w:bCs/>
          <w:iCs/>
          <w:lang w:val="en-GB"/>
        </w:rPr>
        <w:t xml:space="preserve">complaint </w:t>
      </w:r>
      <w:r w:rsidR="00C17610" w:rsidRPr="00C17610">
        <w:rPr>
          <w:bCs/>
          <w:iCs/>
          <w:lang w:val="en-GB"/>
        </w:rPr>
        <w:t xml:space="preserve">to the </w:t>
      </w:r>
      <w:r w:rsidR="009371A1">
        <w:rPr>
          <w:bCs/>
          <w:iCs/>
          <w:lang w:val="en-GB"/>
        </w:rPr>
        <w:t xml:space="preserve">Republic of </w:t>
      </w:r>
      <w:r w:rsidR="00C17610" w:rsidRPr="00C17610">
        <w:rPr>
          <w:bCs/>
          <w:iCs/>
          <w:lang w:val="en-GB"/>
        </w:rPr>
        <w:t xml:space="preserve">Cyprus </w:t>
      </w:r>
      <w:r w:rsidR="00671D3D" w:rsidRPr="00671D3D">
        <w:rPr>
          <w:bCs/>
          <w:iCs/>
          <w:lang w:val="en-GB"/>
        </w:rPr>
        <w:t xml:space="preserve">claiming that his extradition to the Russian Federation would violate his rights under article 3 of the Convention. </w:t>
      </w:r>
      <w:r w:rsidR="009371A1">
        <w:rPr>
          <w:bCs/>
          <w:iCs/>
          <w:lang w:val="en-GB"/>
        </w:rPr>
        <w:t>He was subject to</w:t>
      </w:r>
      <w:r w:rsidR="00671D3D" w:rsidRPr="00671D3D">
        <w:rPr>
          <w:bCs/>
          <w:iCs/>
          <w:lang w:val="en-GB"/>
        </w:rPr>
        <w:t xml:space="preserve"> constant psychological and physical pressure </w:t>
      </w:r>
      <w:r w:rsidR="009371A1">
        <w:rPr>
          <w:bCs/>
          <w:iCs/>
          <w:lang w:val="en-GB"/>
        </w:rPr>
        <w:t>by other detainees, which was ordered, instigated and encouraged by the prison administration, as well as repeated demands from several detainees and the head of prison Block No. 5 to withdraw his complaints to the Prison Board and the Committee</w:t>
      </w:r>
      <w:r w:rsidR="00671D3D" w:rsidRPr="00671D3D">
        <w:rPr>
          <w:bCs/>
          <w:iCs/>
          <w:lang w:val="en-GB"/>
        </w:rPr>
        <w:t xml:space="preserve">. </w:t>
      </w:r>
      <w:r w:rsidR="009371A1">
        <w:rPr>
          <w:bCs/>
          <w:iCs/>
          <w:lang w:val="en-GB"/>
        </w:rPr>
        <w:t xml:space="preserve">He was also pressured into withdrawing his complaint about the conditions of detention to the Director of the Nicosia Central Prisons and the Prisons Board, and two other detainees were threatened with reprisals by the head of prison Block No. 5. </w:t>
      </w:r>
      <w:r w:rsidR="00671D3D">
        <w:rPr>
          <w:bCs/>
          <w:iCs/>
          <w:lang w:val="en-GB"/>
        </w:rPr>
        <w:t xml:space="preserve">The </w:t>
      </w:r>
      <w:r w:rsidR="00671D3D" w:rsidRPr="00671D3D">
        <w:rPr>
          <w:bCs/>
          <w:iCs/>
          <w:lang w:val="en-GB"/>
        </w:rPr>
        <w:t xml:space="preserve">Rapporteur </w:t>
      </w:r>
      <w:r w:rsidR="009371A1">
        <w:rPr>
          <w:bCs/>
          <w:iCs/>
          <w:lang w:val="en-GB"/>
        </w:rPr>
        <w:t xml:space="preserve"> urgently requested information about measures taken </w:t>
      </w:r>
      <w:r w:rsidR="00671D3D">
        <w:rPr>
          <w:bCs/>
          <w:iCs/>
          <w:lang w:val="en-GB"/>
        </w:rPr>
        <w:t xml:space="preserve">to </w:t>
      </w:r>
      <w:r w:rsidR="00671D3D" w:rsidRPr="00671D3D">
        <w:rPr>
          <w:bCs/>
          <w:iCs/>
          <w:lang w:val="en-GB"/>
        </w:rPr>
        <w:t xml:space="preserve">ensure that Mr. Demin </w:t>
      </w:r>
      <w:r w:rsidR="009371A1">
        <w:rPr>
          <w:bCs/>
          <w:iCs/>
          <w:lang w:val="en-GB"/>
        </w:rPr>
        <w:t>wa</w:t>
      </w:r>
      <w:r w:rsidR="00671D3D" w:rsidRPr="00671D3D">
        <w:rPr>
          <w:bCs/>
          <w:iCs/>
          <w:lang w:val="en-GB"/>
        </w:rPr>
        <w:t xml:space="preserve">s not subjected to any reprisals as a result of </w:t>
      </w:r>
      <w:r w:rsidR="002970AC">
        <w:rPr>
          <w:bCs/>
          <w:iCs/>
          <w:lang w:val="en-GB"/>
        </w:rPr>
        <w:t xml:space="preserve">his complaint to the </w:t>
      </w:r>
      <w:r w:rsidR="002970AC" w:rsidRPr="00F30485">
        <w:rPr>
          <w:bCs/>
          <w:iCs/>
          <w:lang w:val="en-GB"/>
        </w:rPr>
        <w:t xml:space="preserve">Committee </w:t>
      </w:r>
      <w:r w:rsidR="00671D3D" w:rsidRPr="00F30485">
        <w:rPr>
          <w:bCs/>
          <w:iCs/>
          <w:lang w:val="en-GB"/>
        </w:rPr>
        <w:t>(</w:t>
      </w:r>
      <w:hyperlink r:id="rId8" w:history="1">
        <w:r w:rsidR="00671D3D" w:rsidRPr="005154AB">
          <w:rPr>
            <w:rStyle w:val="Hyperlink"/>
            <w:bCs/>
            <w:iCs/>
            <w:lang w:val="en-GB"/>
          </w:rPr>
          <w:t>G/SO 229/31 CYP (1)</w:t>
        </w:r>
      </w:hyperlink>
      <w:r w:rsidR="001E221C">
        <w:rPr>
          <w:rStyle w:val="Hyperlink"/>
          <w:bCs/>
          <w:iCs/>
          <w:lang w:val="en-GB"/>
        </w:rPr>
        <w:t>,</w:t>
      </w:r>
      <w:r w:rsidR="009371A1" w:rsidRPr="001E221C">
        <w:rPr>
          <w:lang w:val="en-US"/>
        </w:rPr>
        <w:t xml:space="preserve"> </w:t>
      </w:r>
      <w:r w:rsidR="001E221C">
        <w:rPr>
          <w:lang w:val="en-US"/>
        </w:rPr>
        <w:t xml:space="preserve">available at </w:t>
      </w:r>
      <w:hyperlink r:id="rId9" w:history="1">
        <w:r w:rsidR="009371A1" w:rsidRPr="00523D2B">
          <w:rPr>
            <w:rStyle w:val="Hyperlink"/>
            <w:bCs/>
            <w:iCs/>
            <w:lang w:val="en-US"/>
          </w:rPr>
          <w:t>https://tbinternet.ohchr.org/_layouts/15/TreatyBodyExternal/TBSearch.aspx?Lang=en&amp;TreatyID=1&amp;DocTypeID=130</w:t>
        </w:r>
      </w:hyperlink>
      <w:r w:rsidR="002970AC" w:rsidRPr="005154AB">
        <w:rPr>
          <w:bCs/>
          <w:iCs/>
          <w:lang w:val="en-GB"/>
        </w:rPr>
        <w:t>).</w:t>
      </w:r>
    </w:p>
    <w:p w14:paraId="0A7B22DF" w14:textId="77777777" w:rsidR="00972C51" w:rsidRDefault="00972C51" w:rsidP="00972C51">
      <w:pPr>
        <w:spacing w:line="240" w:lineRule="auto"/>
        <w:jc w:val="both"/>
        <w:rPr>
          <w:iCs/>
          <w:lang w:val="en-GB"/>
        </w:rPr>
      </w:pPr>
      <w:r w:rsidRPr="00972C51">
        <w:rPr>
          <w:b/>
          <w:bCs/>
          <w:iCs/>
          <w:lang w:val="en-GB"/>
        </w:rPr>
        <w:t xml:space="preserve">Access to asylum </w:t>
      </w:r>
      <w:r>
        <w:rPr>
          <w:b/>
          <w:bCs/>
          <w:iCs/>
          <w:lang w:val="en-GB"/>
        </w:rPr>
        <w:t xml:space="preserve">- </w:t>
      </w:r>
      <w:r>
        <w:rPr>
          <w:lang w:val="en-GB"/>
        </w:rPr>
        <w:t xml:space="preserve">In her report on the </w:t>
      </w:r>
      <w:r w:rsidRPr="00147C8B">
        <w:rPr>
          <w:lang w:val="en-GB"/>
        </w:rPr>
        <w:t>question of human rights in Cyprus</w:t>
      </w:r>
      <w:r>
        <w:rPr>
          <w:lang w:val="en-GB"/>
        </w:rPr>
        <w:t xml:space="preserve"> issued in February 2021, the High Commissioner for Human Rights noted that following the emergence of</w:t>
      </w:r>
      <w:r>
        <w:rPr>
          <w:iCs/>
          <w:lang w:val="en-GB"/>
        </w:rPr>
        <w:t xml:space="preserve"> COVID-19, the Republic of Cyprus suspended access to asylum procedures from March to July 2020, and suspended access to the territory from March 2020 onward, </w:t>
      </w:r>
      <w:r w:rsidRPr="00E54143">
        <w:rPr>
          <w:iCs/>
          <w:lang w:val="en-GB"/>
        </w:rPr>
        <w:t>result</w:t>
      </w:r>
      <w:r>
        <w:rPr>
          <w:iCs/>
          <w:lang w:val="en-GB"/>
        </w:rPr>
        <w:t>ing</w:t>
      </w:r>
      <w:r w:rsidRPr="00E54143">
        <w:rPr>
          <w:iCs/>
          <w:lang w:val="en-GB"/>
        </w:rPr>
        <w:t xml:space="preserve"> in denials of the right to seek asylum</w:t>
      </w:r>
      <w:r>
        <w:rPr>
          <w:iCs/>
          <w:lang w:val="en-GB"/>
        </w:rPr>
        <w:t xml:space="preserve">. </w:t>
      </w:r>
      <w:r w:rsidRPr="00E54143">
        <w:rPr>
          <w:iCs/>
          <w:lang w:val="en-GB"/>
        </w:rPr>
        <w:t>A number of asylum seekers were stranded in the b</w:t>
      </w:r>
      <w:r>
        <w:rPr>
          <w:iCs/>
          <w:lang w:val="en-GB"/>
        </w:rPr>
        <w:t>uffer zone, at times for weeks (</w:t>
      </w:r>
      <w:hyperlink r:id="rId10" w:history="1">
        <w:r w:rsidRPr="00B838CA">
          <w:rPr>
            <w:rStyle w:val="Hyperlink"/>
            <w:iCs/>
            <w:lang w:val="en-GB"/>
          </w:rPr>
          <w:t>A/HRC/46/23</w:t>
        </w:r>
      </w:hyperlink>
      <w:r>
        <w:rPr>
          <w:iCs/>
          <w:lang w:val="en-GB"/>
        </w:rPr>
        <w:t xml:space="preserve">, para. 40 - 41). </w:t>
      </w:r>
    </w:p>
    <w:p w14:paraId="30F58274" w14:textId="54B25C5D" w:rsidR="00972C51" w:rsidRDefault="00972C51" w:rsidP="00972C51">
      <w:pPr>
        <w:spacing w:line="240" w:lineRule="auto"/>
        <w:jc w:val="both"/>
        <w:rPr>
          <w:lang w:val="en-US"/>
        </w:rPr>
      </w:pPr>
      <w:r>
        <w:rPr>
          <w:iCs/>
          <w:lang w:val="en-GB"/>
        </w:rPr>
        <w:t xml:space="preserve">In July 2021, five </w:t>
      </w:r>
      <w:r w:rsidR="00931CF3">
        <w:rPr>
          <w:iCs/>
          <w:lang w:val="en-GB"/>
        </w:rPr>
        <w:t>UN</w:t>
      </w:r>
      <w:r>
        <w:rPr>
          <w:iCs/>
          <w:lang w:val="en-GB"/>
        </w:rPr>
        <w:t xml:space="preserve"> Special Procedures </w:t>
      </w:r>
      <w:r w:rsidRPr="0088191B">
        <w:rPr>
          <w:iCs/>
          <w:lang w:val="en-US"/>
        </w:rPr>
        <w:t>entered in</w:t>
      </w:r>
      <w:r>
        <w:rPr>
          <w:iCs/>
          <w:lang w:val="en-US"/>
        </w:rPr>
        <w:t>to</w:t>
      </w:r>
      <w:r w:rsidRPr="0088191B">
        <w:rPr>
          <w:iCs/>
          <w:lang w:val="en-US"/>
        </w:rPr>
        <w:t xml:space="preserve"> a dialogue with </w:t>
      </w:r>
      <w:r>
        <w:rPr>
          <w:iCs/>
          <w:lang w:val="en-US"/>
        </w:rPr>
        <w:t>the Republic of Cyprus</w:t>
      </w:r>
      <w:r w:rsidRPr="0088191B">
        <w:rPr>
          <w:iCs/>
          <w:lang w:val="en-US"/>
        </w:rPr>
        <w:t xml:space="preserve"> </w:t>
      </w:r>
      <w:r>
        <w:rPr>
          <w:iCs/>
          <w:lang w:val="en-US"/>
        </w:rPr>
        <w:t>raising</w:t>
      </w:r>
      <w:r w:rsidRPr="0088191B">
        <w:rPr>
          <w:iCs/>
          <w:lang w:val="en-US"/>
        </w:rPr>
        <w:t xml:space="preserve"> concerns regarding </w:t>
      </w:r>
      <w:r>
        <w:rPr>
          <w:iCs/>
          <w:lang w:val="en-GB"/>
        </w:rPr>
        <w:t>allegations of pushbacks of migrants arriving from Turkey and Lebanon carried out at sea by the Cyprus Marine and Port Police and the alleged use of unreasonable force in these incidences. The authorities allegedly ignored migrants’ expressed requests for asylum, and did not allow them to apply for protection under international human rights and refugee law. (</w:t>
      </w:r>
      <w:hyperlink r:id="rId11" w:history="1">
        <w:r w:rsidRPr="00D5784E">
          <w:rPr>
            <w:rStyle w:val="Hyperlink"/>
            <w:iCs/>
            <w:lang w:val="en-GB"/>
          </w:rPr>
          <w:t>AL CYP 2/2021</w:t>
        </w:r>
      </w:hyperlink>
      <w:r>
        <w:rPr>
          <w:rStyle w:val="Hyperlink"/>
          <w:iCs/>
          <w:lang w:val="en-GB"/>
        </w:rPr>
        <w:t>,</w:t>
      </w:r>
      <w:r w:rsidRPr="002970AC">
        <w:rPr>
          <w:lang w:val="en-US"/>
        </w:rPr>
        <w:t xml:space="preserve"> </w:t>
      </w:r>
      <w:r>
        <w:rPr>
          <w:lang w:val="en-US"/>
        </w:rPr>
        <w:t xml:space="preserve">further details: </w:t>
      </w:r>
      <w:hyperlink r:id="rId12" w:history="1">
        <w:r w:rsidRPr="005C4850">
          <w:rPr>
            <w:rStyle w:val="Hyperlink"/>
            <w:lang w:val="en-US"/>
          </w:rPr>
          <w:t>https://spcommreports.ohchr.org/Tmsearch/TMDocuments</w:t>
        </w:r>
      </w:hyperlink>
      <w:r>
        <w:rPr>
          <w:lang w:val="en-US"/>
        </w:rPr>
        <w:t xml:space="preserve">). </w:t>
      </w:r>
    </w:p>
    <w:p w14:paraId="559A73E1" w14:textId="0E3C8E7A" w:rsidR="00972C51" w:rsidRDefault="00972C51" w:rsidP="00972C51">
      <w:pPr>
        <w:spacing w:line="240" w:lineRule="auto"/>
        <w:jc w:val="both"/>
        <w:rPr>
          <w:lang w:val="en-US"/>
        </w:rPr>
      </w:pPr>
      <w:r>
        <w:rPr>
          <w:lang w:val="en-US"/>
        </w:rPr>
        <w:t xml:space="preserve">In his report of May 2021 on </w:t>
      </w:r>
      <w:r w:rsidRPr="00B214F8">
        <w:rPr>
          <w:lang w:val="en-US"/>
        </w:rPr>
        <w:t>means to address the human rights impact of</w:t>
      </w:r>
      <w:r>
        <w:rPr>
          <w:lang w:val="en-US"/>
        </w:rPr>
        <w:t xml:space="preserve"> </w:t>
      </w:r>
      <w:r w:rsidRPr="00B214F8">
        <w:rPr>
          <w:lang w:val="en-US"/>
        </w:rPr>
        <w:t>pushbacks of migrants on land and at sea</w:t>
      </w:r>
      <w:r>
        <w:rPr>
          <w:lang w:val="en-US"/>
        </w:rPr>
        <w:t>, the UN Special Rapporteur on the human rights of migrants noted reports of pushbacks of migrants and refugees to Lebanon and Turkey, without an individualized assessment of their protection needs or of the risks to them upon return (</w:t>
      </w:r>
      <w:hyperlink r:id="rId13" w:history="1">
        <w:r w:rsidRPr="00972C51">
          <w:rPr>
            <w:rStyle w:val="Hyperlink"/>
            <w:lang w:val="en-US"/>
          </w:rPr>
          <w:t>A/HRC/47/30</w:t>
        </w:r>
      </w:hyperlink>
      <w:r>
        <w:rPr>
          <w:lang w:val="en-US"/>
        </w:rPr>
        <w:t>, para. 59).</w:t>
      </w:r>
    </w:p>
    <w:p w14:paraId="3830C043" w14:textId="0839B754" w:rsidR="00972C51" w:rsidRPr="00714EF2" w:rsidRDefault="00972C51" w:rsidP="00714EF2">
      <w:pPr>
        <w:spacing w:line="240" w:lineRule="auto"/>
        <w:jc w:val="both"/>
        <w:rPr>
          <w:lang w:val="en-US"/>
        </w:rPr>
      </w:pPr>
      <w:r>
        <w:rPr>
          <w:lang w:val="en-US"/>
        </w:rPr>
        <w:t xml:space="preserve">In his report on the UN operation in Cyprus, the UN Secretary-General noted pushbacks at sea and at official crossing points by the Republic of Cyprus, likely contributing to an increase in irregular crossings through the buffer zone. Pushbacks at sea increased during the reporting period, resulting in eight confirmed cases of collective refoulement and one person missing at sea. Three Cameroonian asylum seekers were repeatedly refused access to asylum procedures by the Cyprus Police at the Ledra Street checkpoint, and one of them was admitted to the hospital on an emergency basis but denied access to asylum procedures and pushed back to the buffer zone upon discharge from the hospital. The Secretary-General expressed serious concern about the issue of access to asylum procedures in </w:t>
      </w:r>
      <w:r>
        <w:rPr>
          <w:lang w:val="en-US"/>
        </w:rPr>
        <w:lastRenderedPageBreak/>
        <w:t>accordance with international law, and recalled the critical importance of full adherence to international legal norms in the handling of asylum seekers and refugees (</w:t>
      </w:r>
      <w:hyperlink r:id="rId14" w:history="1">
        <w:r w:rsidRPr="00972C51">
          <w:rPr>
            <w:rStyle w:val="Hyperlink"/>
            <w:lang w:val="en-US"/>
          </w:rPr>
          <w:t>S/2021/1110</w:t>
        </w:r>
      </w:hyperlink>
      <w:r>
        <w:rPr>
          <w:lang w:val="en-US"/>
        </w:rPr>
        <w:t>, paras. 41, 71).</w:t>
      </w:r>
    </w:p>
    <w:p w14:paraId="1C887F1F" w14:textId="77777777" w:rsidR="001B7CA2" w:rsidRPr="001B7CA2" w:rsidRDefault="00FB25EA" w:rsidP="001B7CA2">
      <w:pPr>
        <w:rPr>
          <w:lang w:val="en-GB"/>
        </w:rPr>
      </w:pPr>
      <w:r w:rsidRPr="001B7CA2">
        <w:rPr>
          <w:b/>
          <w:bCs/>
          <w:lang w:val="en-GB"/>
        </w:rPr>
        <w:t xml:space="preserve">II. Anti-corruption framework </w:t>
      </w:r>
    </w:p>
    <w:p w14:paraId="70B77BFB" w14:textId="77777777" w:rsidR="001B7CA2" w:rsidRPr="001B7CA2" w:rsidRDefault="00FB25EA" w:rsidP="001B7CA2">
      <w:pPr>
        <w:rPr>
          <w:lang w:val="en-GB"/>
        </w:rPr>
      </w:pPr>
      <w:r w:rsidRPr="001B7CA2">
        <w:rPr>
          <w:b/>
          <w:bCs/>
          <w:i/>
          <w:iCs/>
          <w:lang w:val="en-GB"/>
        </w:rPr>
        <w:t xml:space="preserve">B. Prevention </w:t>
      </w:r>
    </w:p>
    <w:p w14:paraId="38F28B61" w14:textId="064C4842" w:rsidR="001B7CA2" w:rsidRDefault="00FB25EA" w:rsidP="001B7CA2">
      <w:pPr>
        <w:rPr>
          <w:i/>
          <w:iCs/>
          <w:lang w:val="en-GB"/>
        </w:rPr>
      </w:pPr>
      <w:r w:rsidRPr="001B7CA2">
        <w:rPr>
          <w:i/>
          <w:iCs/>
          <w:lang w:val="en-GB"/>
        </w:rPr>
        <w:t>2</w:t>
      </w:r>
      <w:r w:rsidR="00102288">
        <w:rPr>
          <w:i/>
          <w:iCs/>
          <w:lang w:val="en-GB"/>
        </w:rPr>
        <w:t>4</w:t>
      </w:r>
      <w:r w:rsidRPr="001B7CA2">
        <w:rPr>
          <w:i/>
          <w:iCs/>
          <w:lang w:val="en-GB"/>
        </w:rPr>
        <w:t xml:space="preserve">. Measures in place to ensure whistleblower protection and encourage reporting of corruption </w:t>
      </w:r>
    </w:p>
    <w:p w14:paraId="377CB14B" w14:textId="57779E40" w:rsidR="00995B9C" w:rsidRPr="001B7CA2" w:rsidRDefault="00995B9C" w:rsidP="001E221C">
      <w:pPr>
        <w:jc w:val="both"/>
        <w:rPr>
          <w:lang w:val="en-GB"/>
        </w:rPr>
      </w:pPr>
      <w:r>
        <w:rPr>
          <w:lang w:val="en-GB"/>
        </w:rPr>
        <w:t>In October 2021, four UN Special Procedures entered into a dialogue about concerns regarding the reported use of Pegasus spyware developed by NGO Group Technologies to surveil, intimidate and harass journalists, human rights defenders and political leaders in various countries, and information indicating that NSO Group is domiciled in and/or has operations under the jurisdiction of the Republic of Cyprus. The Special Procedures recalled that concerns had previously been raised with the NSO Group regarding its human rights and whistleblower policies, and the use of the Pegasus spyware (</w:t>
      </w:r>
      <w:hyperlink r:id="rId15" w:history="1">
        <w:r w:rsidRPr="00995B9C">
          <w:rPr>
            <w:rStyle w:val="Hyperlink"/>
            <w:lang w:val="en-GB"/>
          </w:rPr>
          <w:t>AL CYP 3/2021</w:t>
        </w:r>
      </w:hyperlink>
      <w:r w:rsidR="000B5DAC">
        <w:rPr>
          <w:lang w:val="en-GB"/>
        </w:rPr>
        <w:t xml:space="preserve">, available </w:t>
      </w:r>
      <w:r w:rsidR="001E221C">
        <w:rPr>
          <w:lang w:val="en-GB"/>
        </w:rPr>
        <w:t>at</w:t>
      </w:r>
      <w:r w:rsidR="002D336D" w:rsidRPr="002D336D">
        <w:rPr>
          <w:lang w:val="en-US"/>
        </w:rPr>
        <w:t xml:space="preserve"> </w:t>
      </w:r>
      <w:hyperlink r:id="rId16" w:history="1">
        <w:r w:rsidR="002D336D" w:rsidRPr="005C4850">
          <w:rPr>
            <w:rStyle w:val="Hyperlink"/>
            <w:lang w:val="en-US"/>
          </w:rPr>
          <w:t>https://spcommreports.ohchr.org/Tmsearch/TMDocuments</w:t>
        </w:r>
      </w:hyperlink>
      <w:bookmarkStart w:id="0" w:name="_GoBack"/>
      <w:bookmarkEnd w:id="0"/>
      <w:r>
        <w:rPr>
          <w:lang w:val="en-GB"/>
        </w:rPr>
        <w:t xml:space="preserve">). </w:t>
      </w:r>
    </w:p>
    <w:p w14:paraId="551A57A1" w14:textId="77777777" w:rsidR="001B7CA2" w:rsidRPr="001B7CA2" w:rsidRDefault="00FB25EA" w:rsidP="001B7CA2">
      <w:pPr>
        <w:rPr>
          <w:lang w:val="en-GB"/>
        </w:rPr>
      </w:pPr>
      <w:r w:rsidRPr="001B7CA2">
        <w:rPr>
          <w:b/>
          <w:bCs/>
          <w:i/>
          <w:iCs/>
          <w:lang w:val="en-GB"/>
        </w:rPr>
        <w:t xml:space="preserve">Other – please specify </w:t>
      </w:r>
    </w:p>
    <w:p w14:paraId="566D5725" w14:textId="77777777" w:rsidR="001B7CA2" w:rsidRPr="001B7CA2" w:rsidRDefault="00FB25EA" w:rsidP="001B7CA2">
      <w:pPr>
        <w:rPr>
          <w:lang w:val="en-GB"/>
        </w:rPr>
      </w:pPr>
      <w:r w:rsidRPr="001B7CA2">
        <w:rPr>
          <w:b/>
          <w:bCs/>
          <w:lang w:val="en-GB"/>
        </w:rPr>
        <w:t xml:space="preserve">IV. Other institutional issues related to checks and balances </w:t>
      </w:r>
    </w:p>
    <w:p w14:paraId="3BB50A79" w14:textId="77777777" w:rsidR="001B7CA2" w:rsidRPr="001B7CA2" w:rsidRDefault="00FB25EA" w:rsidP="001B7CA2">
      <w:pPr>
        <w:rPr>
          <w:lang w:val="en-GB"/>
        </w:rPr>
      </w:pPr>
      <w:r w:rsidRPr="001B7CA2">
        <w:rPr>
          <w:b/>
          <w:bCs/>
          <w:i/>
          <w:iCs/>
          <w:lang w:val="en-GB"/>
        </w:rPr>
        <w:t xml:space="preserve">A. The process for preparing and enacting laws </w:t>
      </w:r>
    </w:p>
    <w:p w14:paraId="24A8EBAA" w14:textId="77777777" w:rsidR="001B7CA2" w:rsidRPr="001B7CA2" w:rsidRDefault="00FB25EA" w:rsidP="001B7CA2">
      <w:pPr>
        <w:rPr>
          <w:lang w:val="en-GB"/>
        </w:rPr>
      </w:pPr>
      <w:r w:rsidRPr="001B7CA2">
        <w:rPr>
          <w:i/>
          <w:iCs/>
          <w:lang w:val="en-GB"/>
        </w:rPr>
        <w:t>4</w:t>
      </w:r>
      <w:r w:rsidR="00DC49B7">
        <w:rPr>
          <w:i/>
          <w:iCs/>
          <w:lang w:val="en-GB"/>
        </w:rPr>
        <w:t>2</w:t>
      </w:r>
      <w:r w:rsidRPr="001B7CA2">
        <w:rPr>
          <w:i/>
          <w:iCs/>
          <w:lang w:val="en-GB"/>
        </w:rPr>
        <w:t xml:space="preserve">. COVID-19: provide update on significant developments with regard to emergency regimes in the context of the COVID-19 pandemic </w:t>
      </w:r>
    </w:p>
    <w:p w14:paraId="7F65A2EF" w14:textId="77777777" w:rsidR="00147C8B" w:rsidRPr="00147C8B" w:rsidRDefault="00FB25EA" w:rsidP="001B7CA2">
      <w:pPr>
        <w:rPr>
          <w:i/>
          <w:iCs/>
          <w:lang w:val="en-GB"/>
        </w:rPr>
      </w:pPr>
      <w:r w:rsidRPr="001B7CA2">
        <w:rPr>
          <w:lang w:val="en-GB"/>
        </w:rPr>
        <w:t xml:space="preserve">- </w:t>
      </w:r>
      <w:r w:rsidRPr="001B7CA2">
        <w:rPr>
          <w:i/>
          <w:iCs/>
          <w:lang w:val="en-GB"/>
        </w:rPr>
        <w:t xml:space="preserve">judicial review (including constitutional review) of emergency regimes and measures in the context of COVID-19 pandemic </w:t>
      </w:r>
    </w:p>
    <w:p w14:paraId="7928A448" w14:textId="77777777" w:rsidR="001B7CA2" w:rsidRPr="001B7CA2" w:rsidRDefault="00FB25EA" w:rsidP="001B7CA2">
      <w:pPr>
        <w:rPr>
          <w:lang w:val="en-GB"/>
        </w:rPr>
      </w:pPr>
      <w:r w:rsidRPr="001B7CA2">
        <w:rPr>
          <w:lang w:val="en-GB"/>
        </w:rPr>
        <w:t xml:space="preserve">- </w:t>
      </w:r>
      <w:r w:rsidRPr="001B7CA2">
        <w:rPr>
          <w:i/>
          <w:iCs/>
          <w:lang w:val="en-GB"/>
        </w:rPr>
        <w:t xml:space="preserve">oversight by Parliament of emergency regimes and measures in the context of COVID-19 pandemic </w:t>
      </w:r>
    </w:p>
    <w:p w14:paraId="273348EE" w14:textId="77777777" w:rsidR="001B7CA2" w:rsidRDefault="00FB25EA" w:rsidP="001B7CA2">
      <w:pPr>
        <w:rPr>
          <w:i/>
          <w:iCs/>
          <w:lang w:val="en-GB"/>
        </w:rPr>
      </w:pPr>
      <w:r w:rsidRPr="001B7CA2">
        <w:rPr>
          <w:lang w:val="en-GB"/>
        </w:rPr>
        <w:t xml:space="preserve">- </w:t>
      </w:r>
      <w:r w:rsidRPr="001B7CA2">
        <w:rPr>
          <w:i/>
          <w:iCs/>
          <w:lang w:val="en-GB"/>
        </w:rPr>
        <w:t xml:space="preserve">measures taken to ensure the continued activity of Parliament (including possible best practices) </w:t>
      </w:r>
    </w:p>
    <w:p w14:paraId="7581A627" w14:textId="76C2840D" w:rsidR="00147C8B" w:rsidRPr="001B7CA2" w:rsidRDefault="00FB25EA" w:rsidP="00164CF7">
      <w:pPr>
        <w:jc w:val="both"/>
        <w:rPr>
          <w:lang w:val="en-GB"/>
        </w:rPr>
      </w:pPr>
      <w:r>
        <w:rPr>
          <w:lang w:val="en-GB"/>
        </w:rPr>
        <w:t xml:space="preserve">In </w:t>
      </w:r>
      <w:r w:rsidR="004D52D8">
        <w:rPr>
          <w:lang w:val="en-GB"/>
        </w:rPr>
        <w:t>her</w:t>
      </w:r>
      <w:r>
        <w:rPr>
          <w:lang w:val="en-GB"/>
        </w:rPr>
        <w:t xml:space="preserve"> </w:t>
      </w:r>
      <w:r w:rsidR="00C663DE">
        <w:rPr>
          <w:lang w:val="en-GB"/>
        </w:rPr>
        <w:t>r</w:t>
      </w:r>
      <w:r w:rsidRPr="00147C8B">
        <w:rPr>
          <w:lang w:val="en-GB"/>
        </w:rPr>
        <w:t xml:space="preserve">eport </w:t>
      </w:r>
      <w:r>
        <w:rPr>
          <w:lang w:val="en-GB"/>
        </w:rPr>
        <w:t xml:space="preserve">on the </w:t>
      </w:r>
      <w:r w:rsidRPr="00147C8B">
        <w:rPr>
          <w:lang w:val="en-GB"/>
        </w:rPr>
        <w:t>question of human rights in Cyprus</w:t>
      </w:r>
      <w:r w:rsidR="00C663DE">
        <w:rPr>
          <w:lang w:val="en-GB"/>
        </w:rPr>
        <w:t xml:space="preserve"> </w:t>
      </w:r>
      <w:r w:rsidR="00C663DE" w:rsidRPr="00F30485">
        <w:rPr>
          <w:lang w:val="en-GB"/>
        </w:rPr>
        <w:t>issued in</w:t>
      </w:r>
      <w:r w:rsidR="00F30485" w:rsidRPr="00F30485">
        <w:rPr>
          <w:lang w:val="en-GB"/>
        </w:rPr>
        <w:t xml:space="preserve"> </w:t>
      </w:r>
      <w:r w:rsidR="00F30485">
        <w:rPr>
          <w:lang w:val="en-GB"/>
        </w:rPr>
        <w:t>February 2021</w:t>
      </w:r>
      <w:r w:rsidR="0079222A">
        <w:rPr>
          <w:lang w:val="en-GB"/>
        </w:rPr>
        <w:t xml:space="preserve">, the </w:t>
      </w:r>
      <w:r w:rsidR="004D52D8">
        <w:rPr>
          <w:lang w:val="en-GB"/>
        </w:rPr>
        <w:t xml:space="preserve">UN </w:t>
      </w:r>
      <w:r w:rsidR="0079222A">
        <w:rPr>
          <w:lang w:val="en-GB"/>
        </w:rPr>
        <w:t xml:space="preserve">High Commissioner </w:t>
      </w:r>
      <w:r w:rsidR="004D52D8">
        <w:rPr>
          <w:lang w:val="en-GB"/>
        </w:rPr>
        <w:t xml:space="preserve">for Human Rights </w:t>
      </w:r>
      <w:r w:rsidR="00580F0E">
        <w:rPr>
          <w:lang w:val="en-GB"/>
        </w:rPr>
        <w:t>noted that the COVID-19 pandemic exacerbated the challenges for the implementation of international human ri</w:t>
      </w:r>
      <w:r w:rsidR="00CA5838">
        <w:rPr>
          <w:lang w:val="en-GB"/>
        </w:rPr>
        <w:t xml:space="preserve">ghts standards </w:t>
      </w:r>
      <w:r w:rsidR="00580F0E">
        <w:rPr>
          <w:lang w:val="en-GB"/>
        </w:rPr>
        <w:t xml:space="preserve">in Cyprus. </w:t>
      </w:r>
      <w:r w:rsidR="00CA5838">
        <w:rPr>
          <w:lang w:val="en-GB"/>
        </w:rPr>
        <w:t xml:space="preserve">She </w:t>
      </w:r>
      <w:r w:rsidR="00580F0E">
        <w:rPr>
          <w:lang w:val="en-GB"/>
        </w:rPr>
        <w:t xml:space="preserve">highlighted that </w:t>
      </w:r>
      <w:r w:rsidR="001A782C">
        <w:rPr>
          <w:lang w:val="en-GB"/>
        </w:rPr>
        <w:t xml:space="preserve">freedom of movement was restricted </w:t>
      </w:r>
      <w:r w:rsidR="002D336D">
        <w:rPr>
          <w:lang w:val="en-GB"/>
        </w:rPr>
        <w:t xml:space="preserve">by closing </w:t>
      </w:r>
      <w:r w:rsidR="00CA5838">
        <w:rPr>
          <w:lang w:val="en-GB"/>
        </w:rPr>
        <w:t>the crossing points from February 2021 onward</w:t>
      </w:r>
      <w:r w:rsidR="002D336D">
        <w:rPr>
          <w:lang w:val="en-GB"/>
        </w:rPr>
        <w:t xml:space="preserve"> on the island</w:t>
      </w:r>
      <w:r w:rsidR="00CA5838">
        <w:rPr>
          <w:lang w:val="en-GB"/>
        </w:rPr>
        <w:t xml:space="preserve">, </w:t>
      </w:r>
      <w:r w:rsidR="00164CF7">
        <w:rPr>
          <w:lang w:val="en-GB"/>
        </w:rPr>
        <w:t xml:space="preserve">with </w:t>
      </w:r>
      <w:r w:rsidR="001A782C">
        <w:rPr>
          <w:lang w:val="en-GB"/>
        </w:rPr>
        <w:t xml:space="preserve">the Security Council </w:t>
      </w:r>
      <w:r w:rsidR="00164CF7">
        <w:rPr>
          <w:lang w:val="en-GB"/>
        </w:rPr>
        <w:t xml:space="preserve">expressing </w:t>
      </w:r>
      <w:r w:rsidR="001A782C">
        <w:rPr>
          <w:lang w:val="en-GB"/>
        </w:rPr>
        <w:t>concern about the uncoordinated decisions to close the crossing points in response to</w:t>
      </w:r>
      <w:r w:rsidR="00164CF7">
        <w:rPr>
          <w:lang w:val="en-GB"/>
        </w:rPr>
        <w:t xml:space="preserve"> COVID-19</w:t>
      </w:r>
      <w:r w:rsidR="002256F5">
        <w:rPr>
          <w:lang w:val="en-GB"/>
        </w:rPr>
        <w:t xml:space="preserve"> </w:t>
      </w:r>
      <w:r w:rsidR="001A782C">
        <w:rPr>
          <w:lang w:val="en-GB"/>
        </w:rPr>
        <w:t>(</w:t>
      </w:r>
      <w:hyperlink r:id="rId17" w:history="1">
        <w:r w:rsidR="001E221C" w:rsidRPr="00B838CA">
          <w:rPr>
            <w:rStyle w:val="Hyperlink"/>
            <w:iCs/>
            <w:lang w:val="en-GB"/>
          </w:rPr>
          <w:t>A/HRC/46/23</w:t>
        </w:r>
      </w:hyperlink>
      <w:r w:rsidR="002256F5">
        <w:rPr>
          <w:lang w:val="en-GB"/>
        </w:rPr>
        <w:t xml:space="preserve">, para. </w:t>
      </w:r>
      <w:r w:rsidR="001A782C">
        <w:rPr>
          <w:lang w:val="en-GB"/>
        </w:rPr>
        <w:t>20).</w:t>
      </w:r>
      <w:r w:rsidR="00164CF7" w:rsidDel="00164CF7">
        <w:rPr>
          <w:lang w:val="en-GB"/>
        </w:rPr>
        <w:t xml:space="preserve"> </w:t>
      </w:r>
    </w:p>
    <w:p w14:paraId="73F2BD34" w14:textId="77777777" w:rsidR="001B7CA2" w:rsidRPr="001B7CA2" w:rsidRDefault="00FB25EA" w:rsidP="001B7CA2">
      <w:pPr>
        <w:rPr>
          <w:lang w:val="en-GB"/>
        </w:rPr>
      </w:pPr>
      <w:r w:rsidRPr="001B7CA2">
        <w:rPr>
          <w:b/>
          <w:bCs/>
          <w:i/>
          <w:iCs/>
          <w:lang w:val="en-GB"/>
        </w:rPr>
        <w:t xml:space="preserve">D. The enabling framework for civil society </w:t>
      </w:r>
    </w:p>
    <w:p w14:paraId="42517AFD" w14:textId="77777777" w:rsidR="001B7CA2" w:rsidRDefault="00FB25EA" w:rsidP="001B7CA2">
      <w:pPr>
        <w:rPr>
          <w:i/>
          <w:iCs/>
          <w:lang w:val="en-GB"/>
        </w:rPr>
      </w:pPr>
      <w:r w:rsidRPr="001B7CA2">
        <w:rPr>
          <w:i/>
          <w:iCs/>
          <w:lang w:val="en-GB"/>
        </w:rPr>
        <w:t xml:space="preserve">45. Measures regarding the framework for civil society organisations (e.g. access to funding, registration rules, measures capable of affecting the public perception of civil society organisations, etc.) </w:t>
      </w:r>
    </w:p>
    <w:p w14:paraId="4AE80291" w14:textId="020CC208" w:rsidR="00A16FDE" w:rsidRDefault="00FB25EA" w:rsidP="009811B3">
      <w:pPr>
        <w:jc w:val="both"/>
        <w:rPr>
          <w:iCs/>
          <w:lang w:val="en-GB"/>
        </w:rPr>
      </w:pPr>
      <w:r>
        <w:rPr>
          <w:iCs/>
          <w:lang w:val="en-GB"/>
        </w:rPr>
        <w:t xml:space="preserve">In March 2021, </w:t>
      </w:r>
      <w:r w:rsidR="00164CF7">
        <w:rPr>
          <w:iCs/>
          <w:lang w:val="en-GB"/>
        </w:rPr>
        <w:t>five UN Special Procedures</w:t>
      </w:r>
      <w:r w:rsidR="00C663DE">
        <w:rPr>
          <w:iCs/>
          <w:lang w:val="en-GB"/>
        </w:rPr>
        <w:t xml:space="preserve"> entered in a dialogue with </w:t>
      </w:r>
      <w:r w:rsidR="005D6F78">
        <w:rPr>
          <w:iCs/>
          <w:lang w:val="en-GB"/>
        </w:rPr>
        <w:t xml:space="preserve">the Republic of </w:t>
      </w:r>
      <w:r w:rsidR="00C663DE">
        <w:rPr>
          <w:iCs/>
          <w:lang w:val="en-GB"/>
        </w:rPr>
        <w:t xml:space="preserve">Cyprus about </w:t>
      </w:r>
      <w:r w:rsidR="005D6F78">
        <w:rPr>
          <w:iCs/>
          <w:lang w:val="en-GB"/>
        </w:rPr>
        <w:t xml:space="preserve">the deteriorating environment for civil society organizations in the context of the </w:t>
      </w:r>
      <w:r>
        <w:rPr>
          <w:iCs/>
          <w:lang w:val="en-GB"/>
        </w:rPr>
        <w:t>amendment</w:t>
      </w:r>
      <w:r w:rsidR="005D6F78">
        <w:rPr>
          <w:iCs/>
          <w:lang w:val="en-GB"/>
        </w:rPr>
        <w:t xml:space="preserve"> made in 2020</w:t>
      </w:r>
      <w:r>
        <w:rPr>
          <w:iCs/>
          <w:lang w:val="en-GB"/>
        </w:rPr>
        <w:t xml:space="preserve"> to the </w:t>
      </w:r>
      <w:r w:rsidRPr="00A16FDE">
        <w:rPr>
          <w:i/>
          <w:iCs/>
          <w:lang w:val="en-GB"/>
        </w:rPr>
        <w:t>Law on Associations and Foundations and Other Related Issues</w:t>
      </w:r>
      <w:r w:rsidR="001B0395">
        <w:rPr>
          <w:iCs/>
          <w:lang w:val="en-GB"/>
        </w:rPr>
        <w:t xml:space="preserve">, </w:t>
      </w:r>
      <w:r w:rsidR="005D6F78">
        <w:rPr>
          <w:iCs/>
          <w:lang w:val="en-GB"/>
        </w:rPr>
        <w:t>and the alleged deregistration of KISA from the Register of Associations and Foundations. The 2020 amendment established a new deadline of two months for the submission of administrative data by registered associations, failure by which a dissolution process would start for an NGO. On 27 August 2020, the Ministry of Interior announced the start of the process of dissolution of a list of 2,827 associations. KISA sent a number of l</w:t>
      </w:r>
      <w:r w:rsidR="009811B3">
        <w:rPr>
          <w:iCs/>
          <w:lang w:val="en-GB"/>
        </w:rPr>
        <w:t>etters and appeals request</w:t>
      </w:r>
      <w:r w:rsidR="005D6F78">
        <w:rPr>
          <w:iCs/>
          <w:lang w:val="en-GB"/>
        </w:rPr>
        <w:t>ing not to be dissolved</w:t>
      </w:r>
      <w:r w:rsidR="009811B3">
        <w:rPr>
          <w:iCs/>
          <w:lang w:val="en-GB"/>
        </w:rPr>
        <w:t xml:space="preserve">, which were rejected. At the time of the Special Procedures communication, the matter was pending with the Administrative Court. </w:t>
      </w:r>
      <w:r w:rsidR="009811B3">
        <w:rPr>
          <w:iCs/>
          <w:lang w:val="en-GB"/>
        </w:rPr>
        <w:lastRenderedPageBreak/>
        <w:t xml:space="preserve">The Special Procedures also noted that since December 2019, KISA and other NGOs working in the field of human rights, and specifically on the topic of migration and asylum seekers, had been victims of comments made by the Ministry of Interior that could be considered defamatory, and that </w:t>
      </w:r>
      <w:r w:rsidR="00E650F3" w:rsidRPr="00E650F3">
        <w:rPr>
          <w:iCs/>
          <w:lang w:val="en-GB"/>
        </w:rPr>
        <w:t>KISA ap</w:t>
      </w:r>
      <w:r w:rsidR="00E650F3">
        <w:rPr>
          <w:iCs/>
          <w:lang w:val="en-GB"/>
        </w:rPr>
        <w:t>pear</w:t>
      </w:r>
      <w:r w:rsidR="009811B3">
        <w:rPr>
          <w:iCs/>
          <w:lang w:val="en-GB"/>
        </w:rPr>
        <w:t>ed</w:t>
      </w:r>
      <w:r w:rsidR="00E650F3">
        <w:rPr>
          <w:iCs/>
          <w:lang w:val="en-GB"/>
        </w:rPr>
        <w:t xml:space="preserve"> to have been targeted </w:t>
      </w:r>
      <w:r w:rsidR="009811B3">
        <w:rPr>
          <w:iCs/>
          <w:lang w:val="en-GB"/>
        </w:rPr>
        <w:t xml:space="preserve">for its work providing </w:t>
      </w:r>
      <w:r w:rsidR="00E650F3" w:rsidRPr="00E650F3">
        <w:rPr>
          <w:iCs/>
          <w:lang w:val="en-GB"/>
        </w:rPr>
        <w:t xml:space="preserve">support </w:t>
      </w:r>
      <w:r w:rsidR="009811B3">
        <w:rPr>
          <w:iCs/>
          <w:lang w:val="en-GB"/>
        </w:rPr>
        <w:t>to</w:t>
      </w:r>
      <w:r w:rsidR="00E650F3" w:rsidRPr="00E650F3">
        <w:rPr>
          <w:iCs/>
          <w:lang w:val="en-GB"/>
        </w:rPr>
        <w:t xml:space="preserve"> migrants and combatting racia</w:t>
      </w:r>
      <w:r w:rsidR="00D27483">
        <w:rPr>
          <w:iCs/>
          <w:lang w:val="en-GB"/>
        </w:rPr>
        <w:t xml:space="preserve">l discrimination and xenophobia </w:t>
      </w:r>
      <w:r w:rsidR="00591E0E">
        <w:rPr>
          <w:iCs/>
          <w:lang w:val="en-GB"/>
        </w:rPr>
        <w:t>(</w:t>
      </w:r>
      <w:hyperlink r:id="rId18" w:history="1">
        <w:r w:rsidR="00591E0E" w:rsidRPr="00591E0E">
          <w:rPr>
            <w:rStyle w:val="Hyperlink"/>
            <w:iCs/>
            <w:lang w:val="en-GB"/>
          </w:rPr>
          <w:t>AL CYP 1/2021</w:t>
        </w:r>
      </w:hyperlink>
      <w:r w:rsidR="00D25471">
        <w:rPr>
          <w:rStyle w:val="Hyperlink"/>
          <w:iCs/>
          <w:color w:val="000000" w:themeColor="text1"/>
          <w:u w:val="none"/>
          <w:lang w:val="en-GB"/>
        </w:rPr>
        <w:t xml:space="preserve">, </w:t>
      </w:r>
      <w:r w:rsidR="001E221C">
        <w:rPr>
          <w:lang w:val="en-US"/>
        </w:rPr>
        <w:t>available at</w:t>
      </w:r>
      <w:r w:rsidR="00D25471">
        <w:rPr>
          <w:lang w:val="en-US"/>
        </w:rPr>
        <w:t xml:space="preserve"> </w:t>
      </w:r>
      <w:hyperlink r:id="rId19" w:history="1">
        <w:r w:rsidR="00D25471" w:rsidRPr="005C4850">
          <w:rPr>
            <w:rStyle w:val="Hyperlink"/>
            <w:lang w:val="en-US"/>
          </w:rPr>
          <w:t>https://spcommreports.ohchr.org/Tmsearch/TMDocuments</w:t>
        </w:r>
      </w:hyperlink>
      <w:r w:rsidR="00591E0E">
        <w:rPr>
          <w:iCs/>
          <w:lang w:val="en-GB"/>
        </w:rPr>
        <w:t>)</w:t>
      </w:r>
      <w:r w:rsidR="0079222A">
        <w:rPr>
          <w:iCs/>
          <w:lang w:val="en-GB"/>
        </w:rPr>
        <w:t>.</w:t>
      </w:r>
    </w:p>
    <w:p w14:paraId="19C35A27" w14:textId="33A4A9D4" w:rsidR="00580F0E" w:rsidRPr="00580F0E" w:rsidRDefault="00580F0E" w:rsidP="002256F5">
      <w:pPr>
        <w:jc w:val="both"/>
        <w:rPr>
          <w:lang w:val="en-GB"/>
        </w:rPr>
      </w:pPr>
      <w:r>
        <w:rPr>
          <w:lang w:val="en-GB"/>
        </w:rPr>
        <w:t>In October 2021, four UN Special Procedures entered into a dialogue with the Republic of Cyprus about the reported use of Pegasus spyware developed by NGO Group Technologies, and information indicating that NSO Group is domiciled in and/or has operations under the jurisdiction of the Republic of Cyprus. The Special Procedures raised concerns that surveillance operations reportedly used technology to surveil hundreds of journalists, human rights defenders and political leaders, whose role is critical in a democratic society, and that the Pegasus spyware may have been planted onto their devices with the goal of monitoring, intimidating and possibly silencing them (</w:t>
      </w:r>
      <w:hyperlink r:id="rId20" w:history="1">
        <w:r w:rsidRPr="00995B9C">
          <w:rPr>
            <w:rStyle w:val="Hyperlink"/>
            <w:lang w:val="en-GB"/>
          </w:rPr>
          <w:t>AL CYP 3/2021</w:t>
        </w:r>
      </w:hyperlink>
      <w:r w:rsidR="002256F5">
        <w:rPr>
          <w:lang w:val="en-GB"/>
        </w:rPr>
        <w:t>, available at</w:t>
      </w:r>
      <w:r w:rsidR="002D336D">
        <w:rPr>
          <w:lang w:val="en-GB"/>
        </w:rPr>
        <w:t xml:space="preserve"> </w:t>
      </w:r>
      <w:hyperlink r:id="rId21" w:history="1">
        <w:r w:rsidR="002D336D" w:rsidRPr="005C4850">
          <w:rPr>
            <w:rStyle w:val="Hyperlink"/>
            <w:lang w:val="en-US"/>
          </w:rPr>
          <w:t>https://spcommreports.ohchr.org/Tmsearch/TMDocuments</w:t>
        </w:r>
      </w:hyperlink>
      <w:r w:rsidR="002D336D">
        <w:rPr>
          <w:rStyle w:val="Hyperlink"/>
          <w:lang w:val="en-US"/>
        </w:rPr>
        <w:t xml:space="preserve">). </w:t>
      </w:r>
      <w:r w:rsidR="002256F5">
        <w:rPr>
          <w:lang w:val="en-US"/>
        </w:rPr>
        <w:t xml:space="preserve"> </w:t>
      </w:r>
    </w:p>
    <w:p w14:paraId="486E2FB5" w14:textId="77777777" w:rsidR="00E87A2E" w:rsidRDefault="00E87A2E" w:rsidP="00E87A2E">
      <w:pPr>
        <w:pStyle w:val="Header"/>
        <w:rPr>
          <w:lang w:val="en-US"/>
        </w:rPr>
      </w:pPr>
    </w:p>
    <w:p w14:paraId="46290074" w14:textId="77777777" w:rsidR="001B7CA2" w:rsidRPr="00E87A2E" w:rsidRDefault="001B7CA2" w:rsidP="00E75F98">
      <w:pPr>
        <w:jc w:val="both"/>
        <w:rPr>
          <w:rFonts w:cstheme="minorHAnsi"/>
          <w:lang w:val="en-US"/>
        </w:rPr>
      </w:pPr>
    </w:p>
    <w:p w14:paraId="2E0349D8" w14:textId="77777777" w:rsidR="00E75F98" w:rsidRPr="00E75F98" w:rsidRDefault="00E75F98" w:rsidP="00E75F98">
      <w:pPr>
        <w:jc w:val="both"/>
        <w:rPr>
          <w:rFonts w:eastAsia="Calibri" w:cstheme="minorHAnsi"/>
          <w:lang w:val="en-GB"/>
        </w:rPr>
      </w:pPr>
    </w:p>
    <w:p w14:paraId="4F34A5EE" w14:textId="77777777" w:rsidR="008C7A94" w:rsidRPr="008C7A94" w:rsidRDefault="008C7A94" w:rsidP="008C7A94">
      <w:pPr>
        <w:rPr>
          <w:b/>
          <w:bCs/>
          <w:lang w:val="en-GB"/>
        </w:rPr>
      </w:pPr>
    </w:p>
    <w:p w14:paraId="31CE79B9" w14:textId="77777777" w:rsidR="008C7A94" w:rsidRPr="008C7A94" w:rsidRDefault="008C7A94" w:rsidP="00E7579B">
      <w:pPr>
        <w:jc w:val="both"/>
        <w:rPr>
          <w:rFonts w:eastAsia="Calibri" w:cstheme="minorHAnsi"/>
          <w:sz w:val="20"/>
          <w:szCs w:val="24"/>
          <w:lang w:val="en-GB"/>
        </w:rPr>
      </w:pPr>
    </w:p>
    <w:sectPr w:rsidR="008C7A94" w:rsidRPr="008C7A94">
      <w:footerReference w:type="default" r:id="rId22"/>
      <w:endnotePr>
        <w:numFmt w:val="decimal"/>
      </w:endnotePr>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BB36D" w16cex:dateUtc="2022-02-07T14: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70975C" w16cid:durableId="25ABB36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22362" w14:textId="77777777" w:rsidR="00FC0274" w:rsidRDefault="00FC0274">
      <w:pPr>
        <w:spacing w:after="0" w:line="240" w:lineRule="auto"/>
      </w:pPr>
      <w:r>
        <w:separator/>
      </w:r>
    </w:p>
  </w:endnote>
  <w:endnote w:type="continuationSeparator" w:id="0">
    <w:p w14:paraId="72265283" w14:textId="77777777" w:rsidR="00FC0274" w:rsidRDefault="00FC0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57A83DC3" w14:textId="052D2533" w:rsidR="00ED7A10" w:rsidRDefault="00FB25EA">
        <w:pPr>
          <w:pStyle w:val="Footer"/>
          <w:jc w:val="center"/>
        </w:pPr>
        <w:r>
          <w:fldChar w:fldCharType="begin"/>
        </w:r>
        <w:r>
          <w:instrText>PAGE   \* MERGEFORMAT</w:instrText>
        </w:r>
        <w:r>
          <w:fldChar w:fldCharType="separate"/>
        </w:r>
        <w:r w:rsidR="002D336D" w:rsidRPr="002D336D">
          <w:rPr>
            <w:noProof/>
            <w:lang w:val="fr-FR"/>
          </w:rPr>
          <w:t>1</w:t>
        </w:r>
        <w:r>
          <w:fldChar w:fldCharType="end"/>
        </w:r>
      </w:p>
    </w:sdtContent>
  </w:sdt>
  <w:p w14:paraId="6C563A2E" w14:textId="77777777" w:rsidR="00ED7A10" w:rsidRDefault="00ED7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CDA31" w14:textId="77777777" w:rsidR="00FC0274" w:rsidRDefault="00FC0274" w:rsidP="00AB6BD8">
      <w:pPr>
        <w:spacing w:after="0" w:line="240" w:lineRule="auto"/>
      </w:pPr>
      <w:r>
        <w:separator/>
      </w:r>
    </w:p>
  </w:footnote>
  <w:footnote w:type="continuationSeparator" w:id="0">
    <w:p w14:paraId="658EE337" w14:textId="77777777" w:rsidR="00FC0274" w:rsidRDefault="00FC0274"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794CE63E"/>
    <w:lvl w:ilvl="0" w:tplc="E23E0F4C">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50147BC0">
      <w:numFmt w:val="bullet"/>
      <w:lvlText w:val="-"/>
      <w:lvlJc w:val="left"/>
      <w:pPr>
        <w:ind w:left="1575" w:hanging="360"/>
      </w:pPr>
      <w:rPr>
        <w:rFonts w:ascii="Arial" w:eastAsia="Arial" w:hAnsi="Arial" w:cs="Arial" w:hint="default"/>
        <w:w w:val="100"/>
        <w:sz w:val="22"/>
        <w:szCs w:val="22"/>
        <w:lang w:val="en-US" w:eastAsia="en-US" w:bidi="ar-SA"/>
      </w:rPr>
    </w:lvl>
    <w:lvl w:ilvl="2" w:tplc="DB525B26">
      <w:numFmt w:val="bullet"/>
      <w:lvlText w:val="•"/>
      <w:lvlJc w:val="left"/>
      <w:pPr>
        <w:ind w:left="2442" w:hanging="360"/>
      </w:pPr>
      <w:rPr>
        <w:rFonts w:hint="default"/>
        <w:lang w:val="en-US" w:eastAsia="en-US" w:bidi="ar-SA"/>
      </w:rPr>
    </w:lvl>
    <w:lvl w:ilvl="3" w:tplc="492CAEE8">
      <w:numFmt w:val="bullet"/>
      <w:lvlText w:val="•"/>
      <w:lvlJc w:val="left"/>
      <w:pPr>
        <w:ind w:left="3304" w:hanging="360"/>
      </w:pPr>
      <w:rPr>
        <w:rFonts w:hint="default"/>
        <w:lang w:val="en-US" w:eastAsia="en-US" w:bidi="ar-SA"/>
      </w:rPr>
    </w:lvl>
    <w:lvl w:ilvl="4" w:tplc="6F06CBC6">
      <w:numFmt w:val="bullet"/>
      <w:lvlText w:val="•"/>
      <w:lvlJc w:val="left"/>
      <w:pPr>
        <w:ind w:left="4166" w:hanging="360"/>
      </w:pPr>
      <w:rPr>
        <w:rFonts w:hint="default"/>
        <w:lang w:val="en-US" w:eastAsia="en-US" w:bidi="ar-SA"/>
      </w:rPr>
    </w:lvl>
    <w:lvl w:ilvl="5" w:tplc="010EE730">
      <w:numFmt w:val="bullet"/>
      <w:lvlText w:val="•"/>
      <w:lvlJc w:val="left"/>
      <w:pPr>
        <w:ind w:left="5028" w:hanging="360"/>
      </w:pPr>
      <w:rPr>
        <w:rFonts w:hint="default"/>
        <w:lang w:val="en-US" w:eastAsia="en-US" w:bidi="ar-SA"/>
      </w:rPr>
    </w:lvl>
    <w:lvl w:ilvl="6" w:tplc="CB866D7A">
      <w:numFmt w:val="bullet"/>
      <w:lvlText w:val="•"/>
      <w:lvlJc w:val="left"/>
      <w:pPr>
        <w:ind w:left="5890" w:hanging="360"/>
      </w:pPr>
      <w:rPr>
        <w:rFonts w:hint="default"/>
        <w:lang w:val="en-US" w:eastAsia="en-US" w:bidi="ar-SA"/>
      </w:rPr>
    </w:lvl>
    <w:lvl w:ilvl="7" w:tplc="5C9EA62E">
      <w:numFmt w:val="bullet"/>
      <w:lvlText w:val="•"/>
      <w:lvlJc w:val="left"/>
      <w:pPr>
        <w:ind w:left="6752" w:hanging="360"/>
      </w:pPr>
      <w:rPr>
        <w:rFonts w:hint="default"/>
        <w:lang w:val="en-US" w:eastAsia="en-US" w:bidi="ar-SA"/>
      </w:rPr>
    </w:lvl>
    <w:lvl w:ilvl="8" w:tplc="E730A712">
      <w:numFmt w:val="bullet"/>
      <w:lvlText w:val="•"/>
      <w:lvlJc w:val="left"/>
      <w:pPr>
        <w:ind w:left="7614" w:hanging="360"/>
      </w:pPr>
      <w:rPr>
        <w:rFonts w:hint="default"/>
        <w:lang w:val="en-US" w:eastAsia="en-US" w:bidi="ar-SA"/>
      </w:rPr>
    </w:lvl>
  </w:abstractNum>
  <w:abstractNum w:abstractNumId="1" w15:restartNumberingAfterBreak="0">
    <w:nsid w:val="14B224C5"/>
    <w:multiLevelType w:val="hybridMultilevel"/>
    <w:tmpl w:val="8BB2CF5C"/>
    <w:lvl w:ilvl="0" w:tplc="5A40D422">
      <w:start w:val="1"/>
      <w:numFmt w:val="bullet"/>
      <w:lvlText w:val=""/>
      <w:lvlJc w:val="left"/>
      <w:pPr>
        <w:ind w:left="720" w:hanging="360"/>
      </w:pPr>
      <w:rPr>
        <w:rFonts w:ascii="Wingdings" w:hAnsi="Wingdings" w:hint="default"/>
      </w:rPr>
    </w:lvl>
    <w:lvl w:ilvl="1" w:tplc="C4126DA2" w:tentative="1">
      <w:start w:val="1"/>
      <w:numFmt w:val="bullet"/>
      <w:lvlText w:val="o"/>
      <w:lvlJc w:val="left"/>
      <w:pPr>
        <w:ind w:left="1440" w:hanging="360"/>
      </w:pPr>
      <w:rPr>
        <w:rFonts w:ascii="Courier New" w:hAnsi="Courier New" w:cs="Courier New" w:hint="default"/>
      </w:rPr>
    </w:lvl>
    <w:lvl w:ilvl="2" w:tplc="50B6E440" w:tentative="1">
      <w:start w:val="1"/>
      <w:numFmt w:val="bullet"/>
      <w:lvlText w:val=""/>
      <w:lvlJc w:val="left"/>
      <w:pPr>
        <w:ind w:left="2160" w:hanging="360"/>
      </w:pPr>
      <w:rPr>
        <w:rFonts w:ascii="Wingdings" w:hAnsi="Wingdings" w:hint="default"/>
      </w:rPr>
    </w:lvl>
    <w:lvl w:ilvl="3" w:tplc="04D4B112" w:tentative="1">
      <w:start w:val="1"/>
      <w:numFmt w:val="bullet"/>
      <w:lvlText w:val=""/>
      <w:lvlJc w:val="left"/>
      <w:pPr>
        <w:ind w:left="2880" w:hanging="360"/>
      </w:pPr>
      <w:rPr>
        <w:rFonts w:ascii="Symbol" w:hAnsi="Symbol" w:hint="default"/>
      </w:rPr>
    </w:lvl>
    <w:lvl w:ilvl="4" w:tplc="B4B4FF0A" w:tentative="1">
      <w:start w:val="1"/>
      <w:numFmt w:val="bullet"/>
      <w:lvlText w:val="o"/>
      <w:lvlJc w:val="left"/>
      <w:pPr>
        <w:ind w:left="3600" w:hanging="360"/>
      </w:pPr>
      <w:rPr>
        <w:rFonts w:ascii="Courier New" w:hAnsi="Courier New" w:cs="Courier New" w:hint="default"/>
      </w:rPr>
    </w:lvl>
    <w:lvl w:ilvl="5" w:tplc="E46469C0" w:tentative="1">
      <w:start w:val="1"/>
      <w:numFmt w:val="bullet"/>
      <w:lvlText w:val=""/>
      <w:lvlJc w:val="left"/>
      <w:pPr>
        <w:ind w:left="4320" w:hanging="360"/>
      </w:pPr>
      <w:rPr>
        <w:rFonts w:ascii="Wingdings" w:hAnsi="Wingdings" w:hint="default"/>
      </w:rPr>
    </w:lvl>
    <w:lvl w:ilvl="6" w:tplc="462EBE1E" w:tentative="1">
      <w:start w:val="1"/>
      <w:numFmt w:val="bullet"/>
      <w:lvlText w:val=""/>
      <w:lvlJc w:val="left"/>
      <w:pPr>
        <w:ind w:left="5040" w:hanging="360"/>
      </w:pPr>
      <w:rPr>
        <w:rFonts w:ascii="Symbol" w:hAnsi="Symbol" w:hint="default"/>
      </w:rPr>
    </w:lvl>
    <w:lvl w:ilvl="7" w:tplc="365CE9FC" w:tentative="1">
      <w:start w:val="1"/>
      <w:numFmt w:val="bullet"/>
      <w:lvlText w:val="o"/>
      <w:lvlJc w:val="left"/>
      <w:pPr>
        <w:ind w:left="5760" w:hanging="360"/>
      </w:pPr>
      <w:rPr>
        <w:rFonts w:ascii="Courier New" w:hAnsi="Courier New" w:cs="Courier New" w:hint="default"/>
      </w:rPr>
    </w:lvl>
    <w:lvl w:ilvl="8" w:tplc="F8EADD00" w:tentative="1">
      <w:start w:val="1"/>
      <w:numFmt w:val="bullet"/>
      <w:lvlText w:val=""/>
      <w:lvlJc w:val="left"/>
      <w:pPr>
        <w:ind w:left="6480" w:hanging="360"/>
      </w:pPr>
      <w:rPr>
        <w:rFonts w:ascii="Wingdings" w:hAnsi="Wingdings" w:hint="default"/>
      </w:rPr>
    </w:lvl>
  </w:abstractNum>
  <w:abstractNum w:abstractNumId="2" w15:restartNumberingAfterBreak="0">
    <w:nsid w:val="3A71386F"/>
    <w:multiLevelType w:val="hybridMultilevel"/>
    <w:tmpl w:val="7F542AC4"/>
    <w:lvl w:ilvl="0" w:tplc="7DFEF810">
      <w:start w:val="1"/>
      <w:numFmt w:val="bullet"/>
      <w:lvlText w:val=""/>
      <w:lvlJc w:val="left"/>
      <w:pPr>
        <w:ind w:left="630" w:hanging="360"/>
      </w:pPr>
      <w:rPr>
        <w:rFonts w:ascii="Wingdings" w:hAnsi="Wingdings" w:hint="default"/>
      </w:rPr>
    </w:lvl>
    <w:lvl w:ilvl="1" w:tplc="40660584" w:tentative="1">
      <w:start w:val="1"/>
      <w:numFmt w:val="bullet"/>
      <w:lvlText w:val="o"/>
      <w:lvlJc w:val="left"/>
      <w:pPr>
        <w:ind w:left="1350" w:hanging="360"/>
      </w:pPr>
      <w:rPr>
        <w:rFonts w:ascii="Courier New" w:hAnsi="Courier New" w:cs="Courier New" w:hint="default"/>
      </w:rPr>
    </w:lvl>
    <w:lvl w:ilvl="2" w:tplc="F03CC7D2" w:tentative="1">
      <w:start w:val="1"/>
      <w:numFmt w:val="bullet"/>
      <w:lvlText w:val=""/>
      <w:lvlJc w:val="left"/>
      <w:pPr>
        <w:ind w:left="2070" w:hanging="360"/>
      </w:pPr>
      <w:rPr>
        <w:rFonts w:ascii="Wingdings" w:hAnsi="Wingdings" w:hint="default"/>
      </w:rPr>
    </w:lvl>
    <w:lvl w:ilvl="3" w:tplc="67B2ACFC" w:tentative="1">
      <w:start w:val="1"/>
      <w:numFmt w:val="bullet"/>
      <w:lvlText w:val=""/>
      <w:lvlJc w:val="left"/>
      <w:pPr>
        <w:ind w:left="2790" w:hanging="360"/>
      </w:pPr>
      <w:rPr>
        <w:rFonts w:ascii="Symbol" w:hAnsi="Symbol" w:hint="default"/>
      </w:rPr>
    </w:lvl>
    <w:lvl w:ilvl="4" w:tplc="BA26C7D8" w:tentative="1">
      <w:start w:val="1"/>
      <w:numFmt w:val="bullet"/>
      <w:lvlText w:val="o"/>
      <w:lvlJc w:val="left"/>
      <w:pPr>
        <w:ind w:left="3510" w:hanging="360"/>
      </w:pPr>
      <w:rPr>
        <w:rFonts w:ascii="Courier New" w:hAnsi="Courier New" w:cs="Courier New" w:hint="default"/>
      </w:rPr>
    </w:lvl>
    <w:lvl w:ilvl="5" w:tplc="1F72C9B6" w:tentative="1">
      <w:start w:val="1"/>
      <w:numFmt w:val="bullet"/>
      <w:lvlText w:val=""/>
      <w:lvlJc w:val="left"/>
      <w:pPr>
        <w:ind w:left="4230" w:hanging="360"/>
      </w:pPr>
      <w:rPr>
        <w:rFonts w:ascii="Wingdings" w:hAnsi="Wingdings" w:hint="default"/>
      </w:rPr>
    </w:lvl>
    <w:lvl w:ilvl="6" w:tplc="BE16E824" w:tentative="1">
      <w:start w:val="1"/>
      <w:numFmt w:val="bullet"/>
      <w:lvlText w:val=""/>
      <w:lvlJc w:val="left"/>
      <w:pPr>
        <w:ind w:left="4950" w:hanging="360"/>
      </w:pPr>
      <w:rPr>
        <w:rFonts w:ascii="Symbol" w:hAnsi="Symbol" w:hint="default"/>
      </w:rPr>
    </w:lvl>
    <w:lvl w:ilvl="7" w:tplc="40FA25CC" w:tentative="1">
      <w:start w:val="1"/>
      <w:numFmt w:val="bullet"/>
      <w:lvlText w:val="o"/>
      <w:lvlJc w:val="left"/>
      <w:pPr>
        <w:ind w:left="5670" w:hanging="360"/>
      </w:pPr>
      <w:rPr>
        <w:rFonts w:ascii="Courier New" w:hAnsi="Courier New" w:cs="Courier New" w:hint="default"/>
      </w:rPr>
    </w:lvl>
    <w:lvl w:ilvl="8" w:tplc="7558480E" w:tentative="1">
      <w:start w:val="1"/>
      <w:numFmt w:val="bullet"/>
      <w:lvlText w:val=""/>
      <w:lvlJc w:val="left"/>
      <w:pPr>
        <w:ind w:left="6390" w:hanging="360"/>
      </w:pPr>
      <w:rPr>
        <w:rFonts w:ascii="Wingdings" w:hAnsi="Wingdings" w:hint="default"/>
      </w:rPr>
    </w:lvl>
  </w:abstractNum>
  <w:abstractNum w:abstractNumId="3" w15:restartNumberingAfterBreak="0">
    <w:nsid w:val="52426AD4"/>
    <w:multiLevelType w:val="hybridMultilevel"/>
    <w:tmpl w:val="16900952"/>
    <w:lvl w:ilvl="0" w:tplc="3460B646">
      <w:start w:val="1"/>
      <w:numFmt w:val="bullet"/>
      <w:lvlText w:val=""/>
      <w:lvlJc w:val="left"/>
      <w:pPr>
        <w:ind w:left="720" w:hanging="360"/>
      </w:pPr>
      <w:rPr>
        <w:rFonts w:ascii="Symbol" w:hAnsi="Symbol" w:hint="default"/>
      </w:rPr>
    </w:lvl>
    <w:lvl w:ilvl="1" w:tplc="3D0C3E38" w:tentative="1">
      <w:start w:val="1"/>
      <w:numFmt w:val="bullet"/>
      <w:lvlText w:val="o"/>
      <w:lvlJc w:val="left"/>
      <w:pPr>
        <w:ind w:left="1440" w:hanging="360"/>
      </w:pPr>
      <w:rPr>
        <w:rFonts w:ascii="Courier New" w:hAnsi="Courier New" w:cs="Courier New" w:hint="default"/>
      </w:rPr>
    </w:lvl>
    <w:lvl w:ilvl="2" w:tplc="7A1272CA" w:tentative="1">
      <w:start w:val="1"/>
      <w:numFmt w:val="bullet"/>
      <w:lvlText w:val=""/>
      <w:lvlJc w:val="left"/>
      <w:pPr>
        <w:ind w:left="2160" w:hanging="360"/>
      </w:pPr>
      <w:rPr>
        <w:rFonts w:ascii="Wingdings" w:hAnsi="Wingdings" w:hint="default"/>
      </w:rPr>
    </w:lvl>
    <w:lvl w:ilvl="3" w:tplc="1402071C" w:tentative="1">
      <w:start w:val="1"/>
      <w:numFmt w:val="bullet"/>
      <w:lvlText w:val=""/>
      <w:lvlJc w:val="left"/>
      <w:pPr>
        <w:ind w:left="2880" w:hanging="360"/>
      </w:pPr>
      <w:rPr>
        <w:rFonts w:ascii="Symbol" w:hAnsi="Symbol" w:hint="default"/>
      </w:rPr>
    </w:lvl>
    <w:lvl w:ilvl="4" w:tplc="18D64EBC" w:tentative="1">
      <w:start w:val="1"/>
      <w:numFmt w:val="bullet"/>
      <w:lvlText w:val="o"/>
      <w:lvlJc w:val="left"/>
      <w:pPr>
        <w:ind w:left="3600" w:hanging="360"/>
      </w:pPr>
      <w:rPr>
        <w:rFonts w:ascii="Courier New" w:hAnsi="Courier New" w:cs="Courier New" w:hint="default"/>
      </w:rPr>
    </w:lvl>
    <w:lvl w:ilvl="5" w:tplc="E88CC03A" w:tentative="1">
      <w:start w:val="1"/>
      <w:numFmt w:val="bullet"/>
      <w:lvlText w:val=""/>
      <w:lvlJc w:val="left"/>
      <w:pPr>
        <w:ind w:left="4320" w:hanging="360"/>
      </w:pPr>
      <w:rPr>
        <w:rFonts w:ascii="Wingdings" w:hAnsi="Wingdings" w:hint="default"/>
      </w:rPr>
    </w:lvl>
    <w:lvl w:ilvl="6" w:tplc="E680385A" w:tentative="1">
      <w:start w:val="1"/>
      <w:numFmt w:val="bullet"/>
      <w:lvlText w:val=""/>
      <w:lvlJc w:val="left"/>
      <w:pPr>
        <w:ind w:left="5040" w:hanging="360"/>
      </w:pPr>
      <w:rPr>
        <w:rFonts w:ascii="Symbol" w:hAnsi="Symbol" w:hint="default"/>
      </w:rPr>
    </w:lvl>
    <w:lvl w:ilvl="7" w:tplc="4DFAE28E" w:tentative="1">
      <w:start w:val="1"/>
      <w:numFmt w:val="bullet"/>
      <w:lvlText w:val="o"/>
      <w:lvlJc w:val="left"/>
      <w:pPr>
        <w:ind w:left="5760" w:hanging="360"/>
      </w:pPr>
      <w:rPr>
        <w:rFonts w:ascii="Courier New" w:hAnsi="Courier New" w:cs="Courier New" w:hint="default"/>
      </w:rPr>
    </w:lvl>
    <w:lvl w:ilvl="8" w:tplc="DDE2E04E" w:tentative="1">
      <w:start w:val="1"/>
      <w:numFmt w:val="bullet"/>
      <w:lvlText w:val=""/>
      <w:lvlJc w:val="left"/>
      <w:pPr>
        <w:ind w:left="6480" w:hanging="360"/>
      </w:pPr>
      <w:rPr>
        <w:rFonts w:ascii="Wingdings" w:hAnsi="Wingdings" w:hint="default"/>
      </w:rPr>
    </w:lvl>
  </w:abstractNum>
  <w:abstractNum w:abstractNumId="4" w15:restartNumberingAfterBreak="0">
    <w:nsid w:val="55136FE3"/>
    <w:multiLevelType w:val="hybridMultilevel"/>
    <w:tmpl w:val="0736FCEE"/>
    <w:lvl w:ilvl="0" w:tplc="7262762C">
      <w:start w:val="7"/>
      <w:numFmt w:val="decimal"/>
      <w:lvlText w:val="%1."/>
      <w:lvlJc w:val="left"/>
      <w:pPr>
        <w:ind w:left="720" w:hanging="360"/>
      </w:pPr>
      <w:rPr>
        <w:rFonts w:hint="default"/>
      </w:rPr>
    </w:lvl>
    <w:lvl w:ilvl="1" w:tplc="D4322466" w:tentative="1">
      <w:start w:val="1"/>
      <w:numFmt w:val="lowerLetter"/>
      <w:lvlText w:val="%2."/>
      <w:lvlJc w:val="left"/>
      <w:pPr>
        <w:ind w:left="1440" w:hanging="360"/>
      </w:pPr>
    </w:lvl>
    <w:lvl w:ilvl="2" w:tplc="E3585492" w:tentative="1">
      <w:start w:val="1"/>
      <w:numFmt w:val="lowerRoman"/>
      <w:lvlText w:val="%3."/>
      <w:lvlJc w:val="right"/>
      <w:pPr>
        <w:ind w:left="2160" w:hanging="180"/>
      </w:pPr>
    </w:lvl>
    <w:lvl w:ilvl="3" w:tplc="F5F0B43E" w:tentative="1">
      <w:start w:val="1"/>
      <w:numFmt w:val="decimal"/>
      <w:lvlText w:val="%4."/>
      <w:lvlJc w:val="left"/>
      <w:pPr>
        <w:ind w:left="2880" w:hanging="360"/>
      </w:pPr>
    </w:lvl>
    <w:lvl w:ilvl="4" w:tplc="5DFAC9C2" w:tentative="1">
      <w:start w:val="1"/>
      <w:numFmt w:val="lowerLetter"/>
      <w:lvlText w:val="%5."/>
      <w:lvlJc w:val="left"/>
      <w:pPr>
        <w:ind w:left="3600" w:hanging="360"/>
      </w:pPr>
    </w:lvl>
    <w:lvl w:ilvl="5" w:tplc="8E2487D8" w:tentative="1">
      <w:start w:val="1"/>
      <w:numFmt w:val="lowerRoman"/>
      <w:lvlText w:val="%6."/>
      <w:lvlJc w:val="right"/>
      <w:pPr>
        <w:ind w:left="4320" w:hanging="180"/>
      </w:pPr>
    </w:lvl>
    <w:lvl w:ilvl="6" w:tplc="DC0414B4" w:tentative="1">
      <w:start w:val="1"/>
      <w:numFmt w:val="decimal"/>
      <w:lvlText w:val="%7."/>
      <w:lvlJc w:val="left"/>
      <w:pPr>
        <w:ind w:left="5040" w:hanging="360"/>
      </w:pPr>
    </w:lvl>
    <w:lvl w:ilvl="7" w:tplc="79C051E6" w:tentative="1">
      <w:start w:val="1"/>
      <w:numFmt w:val="lowerLetter"/>
      <w:lvlText w:val="%8."/>
      <w:lvlJc w:val="left"/>
      <w:pPr>
        <w:ind w:left="5760" w:hanging="360"/>
      </w:pPr>
    </w:lvl>
    <w:lvl w:ilvl="8" w:tplc="6044AEFC" w:tentative="1">
      <w:start w:val="1"/>
      <w:numFmt w:val="lowerRoman"/>
      <w:lvlText w:val="%9."/>
      <w:lvlJc w:val="right"/>
      <w:pPr>
        <w:ind w:left="6480" w:hanging="180"/>
      </w:pPr>
    </w:lvl>
  </w:abstractNum>
  <w:abstractNum w:abstractNumId="5" w15:restartNumberingAfterBreak="0">
    <w:nsid w:val="55A319AF"/>
    <w:multiLevelType w:val="hybridMultilevel"/>
    <w:tmpl w:val="F26A8E98"/>
    <w:lvl w:ilvl="0" w:tplc="EA9E3904">
      <w:start w:val="1"/>
      <w:numFmt w:val="bullet"/>
      <w:lvlText w:val=""/>
      <w:lvlJc w:val="left"/>
      <w:pPr>
        <w:ind w:left="720" w:hanging="360"/>
      </w:pPr>
      <w:rPr>
        <w:rFonts w:ascii="Symbol" w:hAnsi="Symbol" w:hint="default"/>
      </w:rPr>
    </w:lvl>
    <w:lvl w:ilvl="1" w:tplc="DA7696BA" w:tentative="1">
      <w:start w:val="1"/>
      <w:numFmt w:val="bullet"/>
      <w:lvlText w:val="o"/>
      <w:lvlJc w:val="left"/>
      <w:pPr>
        <w:ind w:left="1440" w:hanging="360"/>
      </w:pPr>
      <w:rPr>
        <w:rFonts w:ascii="Courier New" w:hAnsi="Courier New" w:cs="Courier New" w:hint="default"/>
      </w:rPr>
    </w:lvl>
    <w:lvl w:ilvl="2" w:tplc="C8F015A2" w:tentative="1">
      <w:start w:val="1"/>
      <w:numFmt w:val="bullet"/>
      <w:lvlText w:val=""/>
      <w:lvlJc w:val="left"/>
      <w:pPr>
        <w:ind w:left="2160" w:hanging="360"/>
      </w:pPr>
      <w:rPr>
        <w:rFonts w:ascii="Wingdings" w:hAnsi="Wingdings" w:hint="default"/>
      </w:rPr>
    </w:lvl>
    <w:lvl w:ilvl="3" w:tplc="5D922D92" w:tentative="1">
      <w:start w:val="1"/>
      <w:numFmt w:val="bullet"/>
      <w:lvlText w:val=""/>
      <w:lvlJc w:val="left"/>
      <w:pPr>
        <w:ind w:left="2880" w:hanging="360"/>
      </w:pPr>
      <w:rPr>
        <w:rFonts w:ascii="Symbol" w:hAnsi="Symbol" w:hint="default"/>
      </w:rPr>
    </w:lvl>
    <w:lvl w:ilvl="4" w:tplc="8A508016" w:tentative="1">
      <w:start w:val="1"/>
      <w:numFmt w:val="bullet"/>
      <w:lvlText w:val="o"/>
      <w:lvlJc w:val="left"/>
      <w:pPr>
        <w:ind w:left="3600" w:hanging="360"/>
      </w:pPr>
      <w:rPr>
        <w:rFonts w:ascii="Courier New" w:hAnsi="Courier New" w:cs="Courier New" w:hint="default"/>
      </w:rPr>
    </w:lvl>
    <w:lvl w:ilvl="5" w:tplc="2D488AF8" w:tentative="1">
      <w:start w:val="1"/>
      <w:numFmt w:val="bullet"/>
      <w:lvlText w:val=""/>
      <w:lvlJc w:val="left"/>
      <w:pPr>
        <w:ind w:left="4320" w:hanging="360"/>
      </w:pPr>
      <w:rPr>
        <w:rFonts w:ascii="Wingdings" w:hAnsi="Wingdings" w:hint="default"/>
      </w:rPr>
    </w:lvl>
    <w:lvl w:ilvl="6" w:tplc="CA7EBB54" w:tentative="1">
      <w:start w:val="1"/>
      <w:numFmt w:val="bullet"/>
      <w:lvlText w:val=""/>
      <w:lvlJc w:val="left"/>
      <w:pPr>
        <w:ind w:left="5040" w:hanging="360"/>
      </w:pPr>
      <w:rPr>
        <w:rFonts w:ascii="Symbol" w:hAnsi="Symbol" w:hint="default"/>
      </w:rPr>
    </w:lvl>
    <w:lvl w:ilvl="7" w:tplc="1DCC5BFC" w:tentative="1">
      <w:start w:val="1"/>
      <w:numFmt w:val="bullet"/>
      <w:lvlText w:val="o"/>
      <w:lvlJc w:val="left"/>
      <w:pPr>
        <w:ind w:left="5760" w:hanging="360"/>
      </w:pPr>
      <w:rPr>
        <w:rFonts w:ascii="Courier New" w:hAnsi="Courier New" w:cs="Courier New" w:hint="default"/>
      </w:rPr>
    </w:lvl>
    <w:lvl w:ilvl="8" w:tplc="583A0960" w:tentative="1">
      <w:start w:val="1"/>
      <w:numFmt w:val="bullet"/>
      <w:lvlText w:val=""/>
      <w:lvlJc w:val="left"/>
      <w:pPr>
        <w:ind w:left="6480" w:hanging="360"/>
      </w:pPr>
      <w:rPr>
        <w:rFonts w:ascii="Wingdings" w:hAnsi="Wingdings" w:hint="default"/>
      </w:rPr>
    </w:lvl>
  </w:abstractNum>
  <w:abstractNum w:abstractNumId="6" w15:restartNumberingAfterBreak="0">
    <w:nsid w:val="5629327A"/>
    <w:multiLevelType w:val="hybridMultilevel"/>
    <w:tmpl w:val="C18CA3C6"/>
    <w:lvl w:ilvl="0" w:tplc="D7DE178E">
      <w:start w:val="1"/>
      <w:numFmt w:val="upperRoman"/>
      <w:lvlText w:val="%1."/>
      <w:lvlJc w:val="left"/>
      <w:pPr>
        <w:ind w:left="2844" w:hanging="720"/>
      </w:pPr>
      <w:rPr>
        <w:rFonts w:hint="default"/>
      </w:rPr>
    </w:lvl>
    <w:lvl w:ilvl="1" w:tplc="1A80177C" w:tentative="1">
      <w:start w:val="1"/>
      <w:numFmt w:val="lowerLetter"/>
      <w:lvlText w:val="%2."/>
      <w:lvlJc w:val="left"/>
      <w:pPr>
        <w:ind w:left="3204" w:hanging="360"/>
      </w:pPr>
    </w:lvl>
    <w:lvl w:ilvl="2" w:tplc="426E08EE" w:tentative="1">
      <w:start w:val="1"/>
      <w:numFmt w:val="lowerRoman"/>
      <w:lvlText w:val="%3."/>
      <w:lvlJc w:val="right"/>
      <w:pPr>
        <w:ind w:left="3924" w:hanging="180"/>
      </w:pPr>
    </w:lvl>
    <w:lvl w:ilvl="3" w:tplc="D5A60080" w:tentative="1">
      <w:start w:val="1"/>
      <w:numFmt w:val="decimal"/>
      <w:lvlText w:val="%4."/>
      <w:lvlJc w:val="left"/>
      <w:pPr>
        <w:ind w:left="4644" w:hanging="360"/>
      </w:pPr>
    </w:lvl>
    <w:lvl w:ilvl="4" w:tplc="B04A9E68" w:tentative="1">
      <w:start w:val="1"/>
      <w:numFmt w:val="lowerLetter"/>
      <w:lvlText w:val="%5."/>
      <w:lvlJc w:val="left"/>
      <w:pPr>
        <w:ind w:left="5364" w:hanging="360"/>
      </w:pPr>
    </w:lvl>
    <w:lvl w:ilvl="5" w:tplc="7CF4417E" w:tentative="1">
      <w:start w:val="1"/>
      <w:numFmt w:val="lowerRoman"/>
      <w:lvlText w:val="%6."/>
      <w:lvlJc w:val="right"/>
      <w:pPr>
        <w:ind w:left="6084" w:hanging="180"/>
      </w:pPr>
    </w:lvl>
    <w:lvl w:ilvl="6" w:tplc="F0E424D8" w:tentative="1">
      <w:start w:val="1"/>
      <w:numFmt w:val="decimal"/>
      <w:lvlText w:val="%7."/>
      <w:lvlJc w:val="left"/>
      <w:pPr>
        <w:ind w:left="6804" w:hanging="360"/>
      </w:pPr>
    </w:lvl>
    <w:lvl w:ilvl="7" w:tplc="DD744364" w:tentative="1">
      <w:start w:val="1"/>
      <w:numFmt w:val="lowerLetter"/>
      <w:lvlText w:val="%8."/>
      <w:lvlJc w:val="left"/>
      <w:pPr>
        <w:ind w:left="7524" w:hanging="360"/>
      </w:pPr>
    </w:lvl>
    <w:lvl w:ilvl="8" w:tplc="E1146C28" w:tentative="1">
      <w:start w:val="1"/>
      <w:numFmt w:val="lowerRoman"/>
      <w:lvlText w:val="%9."/>
      <w:lvlJc w:val="right"/>
      <w:pPr>
        <w:ind w:left="8244" w:hanging="180"/>
      </w:pPr>
    </w:lvl>
  </w:abstractNum>
  <w:abstractNum w:abstractNumId="7" w15:restartNumberingAfterBreak="0">
    <w:nsid w:val="63D66480"/>
    <w:multiLevelType w:val="hybridMultilevel"/>
    <w:tmpl w:val="3C5012E0"/>
    <w:lvl w:ilvl="0" w:tplc="A35454C2">
      <w:start w:val="12"/>
      <w:numFmt w:val="decimal"/>
      <w:lvlText w:val="%1."/>
      <w:lvlJc w:val="left"/>
      <w:pPr>
        <w:ind w:left="720" w:hanging="360"/>
      </w:pPr>
      <w:rPr>
        <w:rFonts w:hint="default"/>
      </w:rPr>
    </w:lvl>
    <w:lvl w:ilvl="1" w:tplc="EC1C77FA" w:tentative="1">
      <w:start w:val="1"/>
      <w:numFmt w:val="lowerLetter"/>
      <w:lvlText w:val="%2."/>
      <w:lvlJc w:val="left"/>
      <w:pPr>
        <w:ind w:left="1440" w:hanging="360"/>
      </w:pPr>
    </w:lvl>
    <w:lvl w:ilvl="2" w:tplc="3D4A9CAA" w:tentative="1">
      <w:start w:val="1"/>
      <w:numFmt w:val="lowerRoman"/>
      <w:lvlText w:val="%3."/>
      <w:lvlJc w:val="right"/>
      <w:pPr>
        <w:ind w:left="2160" w:hanging="180"/>
      </w:pPr>
    </w:lvl>
    <w:lvl w:ilvl="3" w:tplc="989AF2B4" w:tentative="1">
      <w:start w:val="1"/>
      <w:numFmt w:val="decimal"/>
      <w:lvlText w:val="%4."/>
      <w:lvlJc w:val="left"/>
      <w:pPr>
        <w:ind w:left="2880" w:hanging="360"/>
      </w:pPr>
    </w:lvl>
    <w:lvl w:ilvl="4" w:tplc="76B21074" w:tentative="1">
      <w:start w:val="1"/>
      <w:numFmt w:val="lowerLetter"/>
      <w:lvlText w:val="%5."/>
      <w:lvlJc w:val="left"/>
      <w:pPr>
        <w:ind w:left="3600" w:hanging="360"/>
      </w:pPr>
    </w:lvl>
    <w:lvl w:ilvl="5" w:tplc="774E777E" w:tentative="1">
      <w:start w:val="1"/>
      <w:numFmt w:val="lowerRoman"/>
      <w:lvlText w:val="%6."/>
      <w:lvlJc w:val="right"/>
      <w:pPr>
        <w:ind w:left="4320" w:hanging="180"/>
      </w:pPr>
    </w:lvl>
    <w:lvl w:ilvl="6" w:tplc="7F9A94CE" w:tentative="1">
      <w:start w:val="1"/>
      <w:numFmt w:val="decimal"/>
      <w:lvlText w:val="%7."/>
      <w:lvlJc w:val="left"/>
      <w:pPr>
        <w:ind w:left="5040" w:hanging="360"/>
      </w:pPr>
    </w:lvl>
    <w:lvl w:ilvl="7" w:tplc="1408BBD6" w:tentative="1">
      <w:start w:val="1"/>
      <w:numFmt w:val="lowerLetter"/>
      <w:lvlText w:val="%8."/>
      <w:lvlJc w:val="left"/>
      <w:pPr>
        <w:ind w:left="5760" w:hanging="360"/>
      </w:pPr>
    </w:lvl>
    <w:lvl w:ilvl="8" w:tplc="81B0D22A" w:tentative="1">
      <w:start w:val="1"/>
      <w:numFmt w:val="lowerRoman"/>
      <w:lvlText w:val="%9."/>
      <w:lvlJc w:val="right"/>
      <w:pPr>
        <w:ind w:left="6480" w:hanging="180"/>
      </w:pPr>
    </w:lvl>
  </w:abstractNum>
  <w:abstractNum w:abstractNumId="8" w15:restartNumberingAfterBreak="0">
    <w:nsid w:val="66686066"/>
    <w:multiLevelType w:val="hybridMultilevel"/>
    <w:tmpl w:val="540236BA"/>
    <w:lvl w:ilvl="0" w:tplc="17429190">
      <w:start w:val="1"/>
      <w:numFmt w:val="bullet"/>
      <w:lvlText w:val=""/>
      <w:lvlJc w:val="left"/>
      <w:pPr>
        <w:ind w:left="720" w:hanging="360"/>
      </w:pPr>
      <w:rPr>
        <w:rFonts w:ascii="Symbol" w:hAnsi="Symbol" w:hint="default"/>
      </w:rPr>
    </w:lvl>
    <w:lvl w:ilvl="1" w:tplc="DEBEDFEE" w:tentative="1">
      <w:start w:val="1"/>
      <w:numFmt w:val="bullet"/>
      <w:lvlText w:val="o"/>
      <w:lvlJc w:val="left"/>
      <w:pPr>
        <w:ind w:left="1440" w:hanging="360"/>
      </w:pPr>
      <w:rPr>
        <w:rFonts w:ascii="Courier New" w:hAnsi="Courier New" w:cs="Courier New" w:hint="default"/>
      </w:rPr>
    </w:lvl>
    <w:lvl w:ilvl="2" w:tplc="5E660C0A" w:tentative="1">
      <w:start w:val="1"/>
      <w:numFmt w:val="bullet"/>
      <w:lvlText w:val=""/>
      <w:lvlJc w:val="left"/>
      <w:pPr>
        <w:ind w:left="2160" w:hanging="360"/>
      </w:pPr>
      <w:rPr>
        <w:rFonts w:ascii="Wingdings" w:hAnsi="Wingdings" w:hint="default"/>
      </w:rPr>
    </w:lvl>
    <w:lvl w:ilvl="3" w:tplc="22F214B6" w:tentative="1">
      <w:start w:val="1"/>
      <w:numFmt w:val="bullet"/>
      <w:lvlText w:val=""/>
      <w:lvlJc w:val="left"/>
      <w:pPr>
        <w:ind w:left="2880" w:hanging="360"/>
      </w:pPr>
      <w:rPr>
        <w:rFonts w:ascii="Symbol" w:hAnsi="Symbol" w:hint="default"/>
      </w:rPr>
    </w:lvl>
    <w:lvl w:ilvl="4" w:tplc="F33607AE" w:tentative="1">
      <w:start w:val="1"/>
      <w:numFmt w:val="bullet"/>
      <w:lvlText w:val="o"/>
      <w:lvlJc w:val="left"/>
      <w:pPr>
        <w:ind w:left="3600" w:hanging="360"/>
      </w:pPr>
      <w:rPr>
        <w:rFonts w:ascii="Courier New" w:hAnsi="Courier New" w:cs="Courier New" w:hint="default"/>
      </w:rPr>
    </w:lvl>
    <w:lvl w:ilvl="5" w:tplc="DA78C004" w:tentative="1">
      <w:start w:val="1"/>
      <w:numFmt w:val="bullet"/>
      <w:lvlText w:val=""/>
      <w:lvlJc w:val="left"/>
      <w:pPr>
        <w:ind w:left="4320" w:hanging="360"/>
      </w:pPr>
      <w:rPr>
        <w:rFonts w:ascii="Wingdings" w:hAnsi="Wingdings" w:hint="default"/>
      </w:rPr>
    </w:lvl>
    <w:lvl w:ilvl="6" w:tplc="121AC92C" w:tentative="1">
      <w:start w:val="1"/>
      <w:numFmt w:val="bullet"/>
      <w:lvlText w:val=""/>
      <w:lvlJc w:val="left"/>
      <w:pPr>
        <w:ind w:left="5040" w:hanging="360"/>
      </w:pPr>
      <w:rPr>
        <w:rFonts w:ascii="Symbol" w:hAnsi="Symbol" w:hint="default"/>
      </w:rPr>
    </w:lvl>
    <w:lvl w:ilvl="7" w:tplc="40C2E716" w:tentative="1">
      <w:start w:val="1"/>
      <w:numFmt w:val="bullet"/>
      <w:lvlText w:val="o"/>
      <w:lvlJc w:val="left"/>
      <w:pPr>
        <w:ind w:left="5760" w:hanging="360"/>
      </w:pPr>
      <w:rPr>
        <w:rFonts w:ascii="Courier New" w:hAnsi="Courier New" w:cs="Courier New" w:hint="default"/>
      </w:rPr>
    </w:lvl>
    <w:lvl w:ilvl="8" w:tplc="F09E9322" w:tentative="1">
      <w:start w:val="1"/>
      <w:numFmt w:val="bullet"/>
      <w:lvlText w:val=""/>
      <w:lvlJc w:val="left"/>
      <w:pPr>
        <w:ind w:left="6480" w:hanging="360"/>
      </w:pPr>
      <w:rPr>
        <w:rFonts w:ascii="Wingdings" w:hAnsi="Wingdings" w:hint="default"/>
      </w:rPr>
    </w:lvl>
  </w:abstractNum>
  <w:abstractNum w:abstractNumId="9" w15:restartNumberingAfterBreak="0">
    <w:nsid w:val="6A046DDE"/>
    <w:multiLevelType w:val="hybridMultilevel"/>
    <w:tmpl w:val="72464844"/>
    <w:lvl w:ilvl="0" w:tplc="CE54EE4E">
      <w:start w:val="1"/>
      <w:numFmt w:val="bullet"/>
      <w:lvlText w:val=""/>
      <w:lvlJc w:val="left"/>
      <w:pPr>
        <w:ind w:left="720" w:hanging="360"/>
      </w:pPr>
      <w:rPr>
        <w:rFonts w:ascii="Wingdings" w:hAnsi="Wingdings" w:hint="default"/>
      </w:rPr>
    </w:lvl>
    <w:lvl w:ilvl="1" w:tplc="CE3A2F20" w:tentative="1">
      <w:start w:val="1"/>
      <w:numFmt w:val="bullet"/>
      <w:lvlText w:val="o"/>
      <w:lvlJc w:val="left"/>
      <w:pPr>
        <w:ind w:left="1440" w:hanging="360"/>
      </w:pPr>
      <w:rPr>
        <w:rFonts w:ascii="Courier New" w:hAnsi="Courier New" w:cs="Courier New" w:hint="default"/>
      </w:rPr>
    </w:lvl>
    <w:lvl w:ilvl="2" w:tplc="5BE86122" w:tentative="1">
      <w:start w:val="1"/>
      <w:numFmt w:val="bullet"/>
      <w:lvlText w:val=""/>
      <w:lvlJc w:val="left"/>
      <w:pPr>
        <w:ind w:left="2160" w:hanging="360"/>
      </w:pPr>
      <w:rPr>
        <w:rFonts w:ascii="Wingdings" w:hAnsi="Wingdings" w:hint="default"/>
      </w:rPr>
    </w:lvl>
    <w:lvl w:ilvl="3" w:tplc="E9144406" w:tentative="1">
      <w:start w:val="1"/>
      <w:numFmt w:val="bullet"/>
      <w:lvlText w:val=""/>
      <w:lvlJc w:val="left"/>
      <w:pPr>
        <w:ind w:left="2880" w:hanging="360"/>
      </w:pPr>
      <w:rPr>
        <w:rFonts w:ascii="Symbol" w:hAnsi="Symbol" w:hint="default"/>
      </w:rPr>
    </w:lvl>
    <w:lvl w:ilvl="4" w:tplc="0C5CA0A4" w:tentative="1">
      <w:start w:val="1"/>
      <w:numFmt w:val="bullet"/>
      <w:lvlText w:val="o"/>
      <w:lvlJc w:val="left"/>
      <w:pPr>
        <w:ind w:left="3600" w:hanging="360"/>
      </w:pPr>
      <w:rPr>
        <w:rFonts w:ascii="Courier New" w:hAnsi="Courier New" w:cs="Courier New" w:hint="default"/>
      </w:rPr>
    </w:lvl>
    <w:lvl w:ilvl="5" w:tplc="1BDAE830" w:tentative="1">
      <w:start w:val="1"/>
      <w:numFmt w:val="bullet"/>
      <w:lvlText w:val=""/>
      <w:lvlJc w:val="left"/>
      <w:pPr>
        <w:ind w:left="4320" w:hanging="360"/>
      </w:pPr>
      <w:rPr>
        <w:rFonts w:ascii="Wingdings" w:hAnsi="Wingdings" w:hint="default"/>
      </w:rPr>
    </w:lvl>
    <w:lvl w:ilvl="6" w:tplc="107A7798" w:tentative="1">
      <w:start w:val="1"/>
      <w:numFmt w:val="bullet"/>
      <w:lvlText w:val=""/>
      <w:lvlJc w:val="left"/>
      <w:pPr>
        <w:ind w:left="5040" w:hanging="360"/>
      </w:pPr>
      <w:rPr>
        <w:rFonts w:ascii="Symbol" w:hAnsi="Symbol" w:hint="default"/>
      </w:rPr>
    </w:lvl>
    <w:lvl w:ilvl="7" w:tplc="61849666" w:tentative="1">
      <w:start w:val="1"/>
      <w:numFmt w:val="bullet"/>
      <w:lvlText w:val="o"/>
      <w:lvlJc w:val="left"/>
      <w:pPr>
        <w:ind w:left="5760" w:hanging="360"/>
      </w:pPr>
      <w:rPr>
        <w:rFonts w:ascii="Courier New" w:hAnsi="Courier New" w:cs="Courier New" w:hint="default"/>
      </w:rPr>
    </w:lvl>
    <w:lvl w:ilvl="8" w:tplc="70F856CC" w:tentative="1">
      <w:start w:val="1"/>
      <w:numFmt w:val="bullet"/>
      <w:lvlText w:val=""/>
      <w:lvlJc w:val="left"/>
      <w:pPr>
        <w:ind w:left="6480" w:hanging="360"/>
      </w:pPr>
      <w:rPr>
        <w:rFonts w:ascii="Wingdings" w:hAnsi="Wingdings" w:hint="default"/>
      </w:rPr>
    </w:lvl>
  </w:abstractNum>
  <w:abstractNum w:abstractNumId="10" w15:restartNumberingAfterBreak="0">
    <w:nsid w:val="6F381198"/>
    <w:multiLevelType w:val="hybridMultilevel"/>
    <w:tmpl w:val="58FC22E6"/>
    <w:lvl w:ilvl="0" w:tplc="574EBBE6">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D93EAC14">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E702F750">
      <w:numFmt w:val="bullet"/>
      <w:lvlText w:val="•"/>
      <w:lvlJc w:val="left"/>
      <w:pPr>
        <w:ind w:left="2122" w:hanging="361"/>
      </w:pPr>
      <w:rPr>
        <w:rFonts w:hint="default"/>
        <w:lang w:val="en-US" w:eastAsia="en-US" w:bidi="ar-SA"/>
      </w:rPr>
    </w:lvl>
    <w:lvl w:ilvl="3" w:tplc="67D85A7A">
      <w:numFmt w:val="bullet"/>
      <w:lvlText w:val="•"/>
      <w:lvlJc w:val="left"/>
      <w:pPr>
        <w:ind w:left="3024" w:hanging="361"/>
      </w:pPr>
      <w:rPr>
        <w:rFonts w:hint="default"/>
        <w:lang w:val="en-US" w:eastAsia="en-US" w:bidi="ar-SA"/>
      </w:rPr>
    </w:lvl>
    <w:lvl w:ilvl="4" w:tplc="6570E874">
      <w:numFmt w:val="bullet"/>
      <w:lvlText w:val="•"/>
      <w:lvlJc w:val="left"/>
      <w:pPr>
        <w:ind w:left="3926" w:hanging="361"/>
      </w:pPr>
      <w:rPr>
        <w:rFonts w:hint="default"/>
        <w:lang w:val="en-US" w:eastAsia="en-US" w:bidi="ar-SA"/>
      </w:rPr>
    </w:lvl>
    <w:lvl w:ilvl="5" w:tplc="487E5C8A">
      <w:numFmt w:val="bullet"/>
      <w:lvlText w:val="•"/>
      <w:lvlJc w:val="left"/>
      <w:pPr>
        <w:ind w:left="4828" w:hanging="361"/>
      </w:pPr>
      <w:rPr>
        <w:rFonts w:hint="default"/>
        <w:lang w:val="en-US" w:eastAsia="en-US" w:bidi="ar-SA"/>
      </w:rPr>
    </w:lvl>
    <w:lvl w:ilvl="6" w:tplc="82FA4A3A">
      <w:numFmt w:val="bullet"/>
      <w:lvlText w:val="•"/>
      <w:lvlJc w:val="left"/>
      <w:pPr>
        <w:ind w:left="5730" w:hanging="361"/>
      </w:pPr>
      <w:rPr>
        <w:rFonts w:hint="default"/>
        <w:lang w:val="en-US" w:eastAsia="en-US" w:bidi="ar-SA"/>
      </w:rPr>
    </w:lvl>
    <w:lvl w:ilvl="7" w:tplc="227EA9A6">
      <w:numFmt w:val="bullet"/>
      <w:lvlText w:val="•"/>
      <w:lvlJc w:val="left"/>
      <w:pPr>
        <w:ind w:left="6632" w:hanging="361"/>
      </w:pPr>
      <w:rPr>
        <w:rFonts w:hint="default"/>
        <w:lang w:val="en-US" w:eastAsia="en-US" w:bidi="ar-SA"/>
      </w:rPr>
    </w:lvl>
    <w:lvl w:ilvl="8" w:tplc="C2A6E710">
      <w:numFmt w:val="bullet"/>
      <w:lvlText w:val="•"/>
      <w:lvlJc w:val="left"/>
      <w:pPr>
        <w:ind w:left="7534" w:hanging="361"/>
      </w:pPr>
      <w:rPr>
        <w:rFonts w:hint="default"/>
        <w:lang w:val="en-US" w:eastAsia="en-US" w:bidi="ar-SA"/>
      </w:rPr>
    </w:lvl>
  </w:abstractNum>
  <w:abstractNum w:abstractNumId="11" w15:restartNumberingAfterBreak="0">
    <w:nsid w:val="6FE8771B"/>
    <w:multiLevelType w:val="hybridMultilevel"/>
    <w:tmpl w:val="C7409BE2"/>
    <w:lvl w:ilvl="0" w:tplc="BEBCDD58">
      <w:start w:val="1"/>
      <w:numFmt w:val="upperRoman"/>
      <w:lvlText w:val="%1."/>
      <w:lvlJc w:val="left"/>
      <w:pPr>
        <w:ind w:left="1080" w:hanging="720"/>
      </w:pPr>
      <w:rPr>
        <w:rFonts w:hint="default"/>
      </w:rPr>
    </w:lvl>
    <w:lvl w:ilvl="1" w:tplc="256AC532" w:tentative="1">
      <w:start w:val="1"/>
      <w:numFmt w:val="lowerLetter"/>
      <w:lvlText w:val="%2."/>
      <w:lvlJc w:val="left"/>
      <w:pPr>
        <w:ind w:left="1440" w:hanging="360"/>
      </w:pPr>
    </w:lvl>
    <w:lvl w:ilvl="2" w:tplc="805CD53A" w:tentative="1">
      <w:start w:val="1"/>
      <w:numFmt w:val="lowerRoman"/>
      <w:lvlText w:val="%3."/>
      <w:lvlJc w:val="right"/>
      <w:pPr>
        <w:ind w:left="2160" w:hanging="180"/>
      </w:pPr>
    </w:lvl>
    <w:lvl w:ilvl="3" w:tplc="8BC8E168" w:tentative="1">
      <w:start w:val="1"/>
      <w:numFmt w:val="decimal"/>
      <w:lvlText w:val="%4."/>
      <w:lvlJc w:val="left"/>
      <w:pPr>
        <w:ind w:left="2880" w:hanging="360"/>
      </w:pPr>
    </w:lvl>
    <w:lvl w:ilvl="4" w:tplc="DA629BFC" w:tentative="1">
      <w:start w:val="1"/>
      <w:numFmt w:val="lowerLetter"/>
      <w:lvlText w:val="%5."/>
      <w:lvlJc w:val="left"/>
      <w:pPr>
        <w:ind w:left="3600" w:hanging="360"/>
      </w:pPr>
    </w:lvl>
    <w:lvl w:ilvl="5" w:tplc="A322D414" w:tentative="1">
      <w:start w:val="1"/>
      <w:numFmt w:val="lowerRoman"/>
      <w:lvlText w:val="%6."/>
      <w:lvlJc w:val="right"/>
      <w:pPr>
        <w:ind w:left="4320" w:hanging="180"/>
      </w:pPr>
    </w:lvl>
    <w:lvl w:ilvl="6" w:tplc="7BD4E978" w:tentative="1">
      <w:start w:val="1"/>
      <w:numFmt w:val="decimal"/>
      <w:lvlText w:val="%7."/>
      <w:lvlJc w:val="left"/>
      <w:pPr>
        <w:ind w:left="5040" w:hanging="360"/>
      </w:pPr>
    </w:lvl>
    <w:lvl w:ilvl="7" w:tplc="41C0E44C" w:tentative="1">
      <w:start w:val="1"/>
      <w:numFmt w:val="lowerLetter"/>
      <w:lvlText w:val="%8."/>
      <w:lvlJc w:val="left"/>
      <w:pPr>
        <w:ind w:left="5760" w:hanging="360"/>
      </w:pPr>
    </w:lvl>
    <w:lvl w:ilvl="8" w:tplc="E89C4B0C" w:tentative="1">
      <w:start w:val="1"/>
      <w:numFmt w:val="lowerRoman"/>
      <w:lvlText w:val="%9."/>
      <w:lvlJc w:val="right"/>
      <w:pPr>
        <w:ind w:left="6480" w:hanging="180"/>
      </w:pPr>
    </w:lvl>
  </w:abstractNum>
  <w:num w:numId="1">
    <w:abstractNumId w:val="6"/>
  </w:num>
  <w:num w:numId="2">
    <w:abstractNumId w:val="11"/>
  </w:num>
  <w:num w:numId="3">
    <w:abstractNumId w:val="2"/>
  </w:num>
  <w:num w:numId="4">
    <w:abstractNumId w:val="1"/>
  </w:num>
  <w:num w:numId="5">
    <w:abstractNumId w:val="3"/>
  </w:num>
  <w:num w:numId="6">
    <w:abstractNumId w:val="5"/>
  </w:num>
  <w:num w:numId="7">
    <w:abstractNumId w:val="9"/>
  </w:num>
  <w:num w:numId="8">
    <w:abstractNumId w:val="8"/>
  </w:num>
  <w:num w:numId="9">
    <w:abstractNumId w:val="10"/>
  </w:num>
  <w:num w:numId="10">
    <w:abstractNumId w:val="4"/>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fr-FR" w:vendorID="64" w:dllVersion="131078" w:nlCheck="1" w:checkStyle="0"/>
  <w:attachedTemplate r:id="rId1"/>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16D"/>
    <w:rsid w:val="0002213A"/>
    <w:rsid w:val="00024911"/>
    <w:rsid w:val="00040CBA"/>
    <w:rsid w:val="00045797"/>
    <w:rsid w:val="000555C4"/>
    <w:rsid w:val="000720BB"/>
    <w:rsid w:val="00094650"/>
    <w:rsid w:val="000B034D"/>
    <w:rsid w:val="000B5DAC"/>
    <w:rsid w:val="000D06BF"/>
    <w:rsid w:val="000E3E0A"/>
    <w:rsid w:val="000E4ACA"/>
    <w:rsid w:val="000E4D1E"/>
    <w:rsid w:val="000E58CC"/>
    <w:rsid w:val="000F7447"/>
    <w:rsid w:val="000F74F4"/>
    <w:rsid w:val="00102288"/>
    <w:rsid w:val="00116E3F"/>
    <w:rsid w:val="00125B2C"/>
    <w:rsid w:val="001314F8"/>
    <w:rsid w:val="00137F92"/>
    <w:rsid w:val="00144509"/>
    <w:rsid w:val="00144770"/>
    <w:rsid w:val="00147BF9"/>
    <w:rsid w:val="00147C8B"/>
    <w:rsid w:val="0015004A"/>
    <w:rsid w:val="00152098"/>
    <w:rsid w:val="00164CF7"/>
    <w:rsid w:val="00165AFF"/>
    <w:rsid w:val="001868E0"/>
    <w:rsid w:val="00195595"/>
    <w:rsid w:val="001A17C6"/>
    <w:rsid w:val="001A782C"/>
    <w:rsid w:val="001B0395"/>
    <w:rsid w:val="001B4A66"/>
    <w:rsid w:val="001B7CA2"/>
    <w:rsid w:val="001C2925"/>
    <w:rsid w:val="001C79A2"/>
    <w:rsid w:val="001C7CCF"/>
    <w:rsid w:val="001E08DC"/>
    <w:rsid w:val="001E0C79"/>
    <w:rsid w:val="001E19CF"/>
    <w:rsid w:val="001E2105"/>
    <w:rsid w:val="001E221C"/>
    <w:rsid w:val="002057FA"/>
    <w:rsid w:val="00206A47"/>
    <w:rsid w:val="00221C79"/>
    <w:rsid w:val="002256F5"/>
    <w:rsid w:val="00231F28"/>
    <w:rsid w:val="00235A91"/>
    <w:rsid w:val="002430D2"/>
    <w:rsid w:val="0024664D"/>
    <w:rsid w:val="00251082"/>
    <w:rsid w:val="00252C8E"/>
    <w:rsid w:val="002668EA"/>
    <w:rsid w:val="0027149B"/>
    <w:rsid w:val="00275AE3"/>
    <w:rsid w:val="00293C29"/>
    <w:rsid w:val="00294805"/>
    <w:rsid w:val="002953FF"/>
    <w:rsid w:val="002969C5"/>
    <w:rsid w:val="002970AC"/>
    <w:rsid w:val="002B1EE0"/>
    <w:rsid w:val="002C15AB"/>
    <w:rsid w:val="002C4AD7"/>
    <w:rsid w:val="002D336D"/>
    <w:rsid w:val="002D45D1"/>
    <w:rsid w:val="0030165D"/>
    <w:rsid w:val="00334386"/>
    <w:rsid w:val="003458D0"/>
    <w:rsid w:val="003619BB"/>
    <w:rsid w:val="00364DD8"/>
    <w:rsid w:val="0036730D"/>
    <w:rsid w:val="003828EF"/>
    <w:rsid w:val="00383787"/>
    <w:rsid w:val="003843E1"/>
    <w:rsid w:val="0038485A"/>
    <w:rsid w:val="003B4F07"/>
    <w:rsid w:val="003D60A3"/>
    <w:rsid w:val="003D7999"/>
    <w:rsid w:val="003F19B1"/>
    <w:rsid w:val="00405880"/>
    <w:rsid w:val="00445679"/>
    <w:rsid w:val="00447DF5"/>
    <w:rsid w:val="00451BE5"/>
    <w:rsid w:val="00462100"/>
    <w:rsid w:val="004809CC"/>
    <w:rsid w:val="00491A44"/>
    <w:rsid w:val="004A0573"/>
    <w:rsid w:val="004A4D25"/>
    <w:rsid w:val="004B2A8B"/>
    <w:rsid w:val="004B60DD"/>
    <w:rsid w:val="004C0B1F"/>
    <w:rsid w:val="004C2B89"/>
    <w:rsid w:val="004D52D8"/>
    <w:rsid w:val="004E2A0C"/>
    <w:rsid w:val="004E5D2F"/>
    <w:rsid w:val="004F138E"/>
    <w:rsid w:val="004F7ECC"/>
    <w:rsid w:val="0050616D"/>
    <w:rsid w:val="005078D2"/>
    <w:rsid w:val="005154AB"/>
    <w:rsid w:val="00531CBF"/>
    <w:rsid w:val="005523C6"/>
    <w:rsid w:val="00561741"/>
    <w:rsid w:val="005715FB"/>
    <w:rsid w:val="00572CAC"/>
    <w:rsid w:val="00572D29"/>
    <w:rsid w:val="00576122"/>
    <w:rsid w:val="00580F0E"/>
    <w:rsid w:val="00591E0E"/>
    <w:rsid w:val="00592F7B"/>
    <w:rsid w:val="005936DA"/>
    <w:rsid w:val="00595A34"/>
    <w:rsid w:val="005A53B1"/>
    <w:rsid w:val="005C4199"/>
    <w:rsid w:val="005D6F78"/>
    <w:rsid w:val="005E475B"/>
    <w:rsid w:val="00600F16"/>
    <w:rsid w:val="0061181D"/>
    <w:rsid w:val="00621476"/>
    <w:rsid w:val="00633DEB"/>
    <w:rsid w:val="006401D8"/>
    <w:rsid w:val="0064596A"/>
    <w:rsid w:val="00651530"/>
    <w:rsid w:val="00656276"/>
    <w:rsid w:val="00661A06"/>
    <w:rsid w:val="0066480F"/>
    <w:rsid w:val="00671D3D"/>
    <w:rsid w:val="00694C36"/>
    <w:rsid w:val="006B2EEF"/>
    <w:rsid w:val="006E7D06"/>
    <w:rsid w:val="006F10BF"/>
    <w:rsid w:val="00714EF2"/>
    <w:rsid w:val="00726393"/>
    <w:rsid w:val="0074007C"/>
    <w:rsid w:val="007467E2"/>
    <w:rsid w:val="00753FA0"/>
    <w:rsid w:val="0079222A"/>
    <w:rsid w:val="0079724B"/>
    <w:rsid w:val="007C442C"/>
    <w:rsid w:val="007D7490"/>
    <w:rsid w:val="007F1F30"/>
    <w:rsid w:val="007F529E"/>
    <w:rsid w:val="0080379C"/>
    <w:rsid w:val="00812CA6"/>
    <w:rsid w:val="008132A9"/>
    <w:rsid w:val="00815599"/>
    <w:rsid w:val="00820269"/>
    <w:rsid w:val="00824724"/>
    <w:rsid w:val="0083739F"/>
    <w:rsid w:val="00851772"/>
    <w:rsid w:val="008526FE"/>
    <w:rsid w:val="00854696"/>
    <w:rsid w:val="008628EF"/>
    <w:rsid w:val="00867498"/>
    <w:rsid w:val="00867CBB"/>
    <w:rsid w:val="00877136"/>
    <w:rsid w:val="0088139C"/>
    <w:rsid w:val="0088191B"/>
    <w:rsid w:val="008A1B74"/>
    <w:rsid w:val="008A7229"/>
    <w:rsid w:val="008B50CB"/>
    <w:rsid w:val="008B5DE9"/>
    <w:rsid w:val="008C4411"/>
    <w:rsid w:val="008C7A94"/>
    <w:rsid w:val="008D7F8C"/>
    <w:rsid w:val="008E4FD7"/>
    <w:rsid w:val="008E537C"/>
    <w:rsid w:val="008E6568"/>
    <w:rsid w:val="008F5F0F"/>
    <w:rsid w:val="008F689A"/>
    <w:rsid w:val="00916B8E"/>
    <w:rsid w:val="00923EBE"/>
    <w:rsid w:val="00931CF3"/>
    <w:rsid w:val="009371A1"/>
    <w:rsid w:val="009441AD"/>
    <w:rsid w:val="00951DEB"/>
    <w:rsid w:val="009531EE"/>
    <w:rsid w:val="00962913"/>
    <w:rsid w:val="0096772C"/>
    <w:rsid w:val="00972C51"/>
    <w:rsid w:val="009811B3"/>
    <w:rsid w:val="00983221"/>
    <w:rsid w:val="00991323"/>
    <w:rsid w:val="00995B9C"/>
    <w:rsid w:val="00997215"/>
    <w:rsid w:val="009C040C"/>
    <w:rsid w:val="009C6B9F"/>
    <w:rsid w:val="009D1508"/>
    <w:rsid w:val="009E48E9"/>
    <w:rsid w:val="00A06E8D"/>
    <w:rsid w:val="00A1060B"/>
    <w:rsid w:val="00A118BB"/>
    <w:rsid w:val="00A16FDE"/>
    <w:rsid w:val="00A2011E"/>
    <w:rsid w:val="00A33884"/>
    <w:rsid w:val="00A82776"/>
    <w:rsid w:val="00A8576F"/>
    <w:rsid w:val="00A95DE7"/>
    <w:rsid w:val="00AB149D"/>
    <w:rsid w:val="00AB39DD"/>
    <w:rsid w:val="00AB4073"/>
    <w:rsid w:val="00AB6BD8"/>
    <w:rsid w:val="00AD14BD"/>
    <w:rsid w:val="00AD4CEB"/>
    <w:rsid w:val="00AD5BC2"/>
    <w:rsid w:val="00AE13F5"/>
    <w:rsid w:val="00AF33F6"/>
    <w:rsid w:val="00AF4734"/>
    <w:rsid w:val="00AF6778"/>
    <w:rsid w:val="00B048E2"/>
    <w:rsid w:val="00B06121"/>
    <w:rsid w:val="00B1077E"/>
    <w:rsid w:val="00B2081C"/>
    <w:rsid w:val="00B2116F"/>
    <w:rsid w:val="00B214F8"/>
    <w:rsid w:val="00B3376B"/>
    <w:rsid w:val="00B4482C"/>
    <w:rsid w:val="00B47DC6"/>
    <w:rsid w:val="00B54E3F"/>
    <w:rsid w:val="00B669A0"/>
    <w:rsid w:val="00B837B5"/>
    <w:rsid w:val="00B838CA"/>
    <w:rsid w:val="00B8626C"/>
    <w:rsid w:val="00B92E78"/>
    <w:rsid w:val="00B94426"/>
    <w:rsid w:val="00BA23B6"/>
    <w:rsid w:val="00BB67D7"/>
    <w:rsid w:val="00BC1D9A"/>
    <w:rsid w:val="00BD58CD"/>
    <w:rsid w:val="00BE5205"/>
    <w:rsid w:val="00BF199A"/>
    <w:rsid w:val="00C15CAF"/>
    <w:rsid w:val="00C17610"/>
    <w:rsid w:val="00C206C5"/>
    <w:rsid w:val="00C21B69"/>
    <w:rsid w:val="00C25048"/>
    <w:rsid w:val="00C257A1"/>
    <w:rsid w:val="00C34944"/>
    <w:rsid w:val="00C357C2"/>
    <w:rsid w:val="00C46DCD"/>
    <w:rsid w:val="00C5007B"/>
    <w:rsid w:val="00C663DE"/>
    <w:rsid w:val="00C91D1B"/>
    <w:rsid w:val="00C94875"/>
    <w:rsid w:val="00CA5838"/>
    <w:rsid w:val="00CB73BB"/>
    <w:rsid w:val="00CC6B37"/>
    <w:rsid w:val="00CD1815"/>
    <w:rsid w:val="00CD7A88"/>
    <w:rsid w:val="00CE4C75"/>
    <w:rsid w:val="00CF698C"/>
    <w:rsid w:val="00D002BC"/>
    <w:rsid w:val="00D027D9"/>
    <w:rsid w:val="00D03BCA"/>
    <w:rsid w:val="00D170A2"/>
    <w:rsid w:val="00D17788"/>
    <w:rsid w:val="00D25471"/>
    <w:rsid w:val="00D27483"/>
    <w:rsid w:val="00D378AD"/>
    <w:rsid w:val="00D41698"/>
    <w:rsid w:val="00D5784E"/>
    <w:rsid w:val="00D6657B"/>
    <w:rsid w:val="00D76481"/>
    <w:rsid w:val="00D7681D"/>
    <w:rsid w:val="00D776C3"/>
    <w:rsid w:val="00D848D8"/>
    <w:rsid w:val="00D87626"/>
    <w:rsid w:val="00D9011B"/>
    <w:rsid w:val="00DA2342"/>
    <w:rsid w:val="00DA258C"/>
    <w:rsid w:val="00DB287C"/>
    <w:rsid w:val="00DC04CC"/>
    <w:rsid w:val="00DC2228"/>
    <w:rsid w:val="00DC36E4"/>
    <w:rsid w:val="00DC49B7"/>
    <w:rsid w:val="00DC5B32"/>
    <w:rsid w:val="00DD1A75"/>
    <w:rsid w:val="00DD51BC"/>
    <w:rsid w:val="00DE2240"/>
    <w:rsid w:val="00DF181A"/>
    <w:rsid w:val="00DF26EC"/>
    <w:rsid w:val="00E14E2A"/>
    <w:rsid w:val="00E25F31"/>
    <w:rsid w:val="00E33076"/>
    <w:rsid w:val="00E51222"/>
    <w:rsid w:val="00E54143"/>
    <w:rsid w:val="00E56BA0"/>
    <w:rsid w:val="00E57355"/>
    <w:rsid w:val="00E650F3"/>
    <w:rsid w:val="00E70E81"/>
    <w:rsid w:val="00E7390A"/>
    <w:rsid w:val="00E7579B"/>
    <w:rsid w:val="00E75F98"/>
    <w:rsid w:val="00E85BC4"/>
    <w:rsid w:val="00E87A2E"/>
    <w:rsid w:val="00E92C99"/>
    <w:rsid w:val="00E943EC"/>
    <w:rsid w:val="00EA5201"/>
    <w:rsid w:val="00EB0581"/>
    <w:rsid w:val="00EB531D"/>
    <w:rsid w:val="00ED5335"/>
    <w:rsid w:val="00ED7A10"/>
    <w:rsid w:val="00EE6A52"/>
    <w:rsid w:val="00EF2BDF"/>
    <w:rsid w:val="00EF36D6"/>
    <w:rsid w:val="00EF4DF8"/>
    <w:rsid w:val="00F30485"/>
    <w:rsid w:val="00F464F2"/>
    <w:rsid w:val="00F67341"/>
    <w:rsid w:val="00F7351E"/>
    <w:rsid w:val="00F767DF"/>
    <w:rsid w:val="00F7725E"/>
    <w:rsid w:val="00FA0BA4"/>
    <w:rsid w:val="00FB25EA"/>
    <w:rsid w:val="00FC0274"/>
    <w:rsid w:val="00FE1807"/>
    <w:rsid w:val="00FF410C"/>
    <w:rsid w:val="00FF5A3B"/>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0A084"/>
  <w15:chartTrackingRefBased/>
  <w15:docId w15:val="{678F69ED-9128-4EF2-B652-F2F8D69E6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C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aliases w:val="6_G"/>
    <w:basedOn w:val="Normal"/>
    <w:link w:val="HeaderChar"/>
    <w:unhideWhenUsed/>
    <w:rsid w:val="00997215"/>
    <w:pPr>
      <w:tabs>
        <w:tab w:val="center" w:pos="4536"/>
        <w:tab w:val="right" w:pos="9072"/>
      </w:tabs>
      <w:spacing w:after="0" w:line="240" w:lineRule="auto"/>
    </w:pPr>
  </w:style>
  <w:style w:type="character" w:customStyle="1" w:styleId="HeaderChar">
    <w:name w:val="Header Char"/>
    <w:aliases w:val="6_G Char"/>
    <w:basedOn w:val="DefaultParagraphFont"/>
    <w:link w:val="Header"/>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styleId="Strong">
    <w:name w:val="Strong"/>
    <w:basedOn w:val="DefaultParagraphFont"/>
    <w:uiPriority w:val="22"/>
    <w:qFormat/>
    <w:rsid w:val="00EA5201"/>
    <w:rPr>
      <w:b/>
      <w:bCs/>
    </w:rPr>
  </w:style>
  <w:style w:type="character" w:customStyle="1" w:styleId="highlight">
    <w:name w:val="highlight"/>
    <w:basedOn w:val="DefaultParagraphFont"/>
    <w:rsid w:val="00B06121"/>
  </w:style>
  <w:style w:type="character" w:customStyle="1" w:styleId="lblnewsfulltext">
    <w:name w:val="lblnewsfulltext"/>
    <w:basedOn w:val="DefaultParagraphFont"/>
    <w:rsid w:val="00252C8E"/>
  </w:style>
  <w:style w:type="paragraph" w:styleId="Revision">
    <w:name w:val="Revision"/>
    <w:hidden/>
    <w:uiPriority w:val="99"/>
    <w:semiHidden/>
    <w:rsid w:val="0027149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binternet.ohchr.org/Treaties/CAT/Shared%20Documents/CYP/INT_CAT_RLE_CYP_9475_E.pdf" TargetMode="External"/><Relationship Id="rId13" Type="http://schemas.openxmlformats.org/officeDocument/2006/relationships/hyperlink" Target="https://ap.ohchr.org/documents/dpage_e.aspx?si=A/HRC/47/30" TargetMode="External"/><Relationship Id="rId18" Type="http://schemas.openxmlformats.org/officeDocument/2006/relationships/hyperlink" Target="https://spcommreports.ohchr.org/TMResultsBase/DownLoadPublicCommunicationFile?gId=26312" TargetMode="Externa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yperlink" Target="https://spcommreports.ohchr.org/Tmsearch/TMDocuments" TargetMode="External"/><Relationship Id="rId7" Type="http://schemas.openxmlformats.org/officeDocument/2006/relationships/endnotes" Target="endnotes.xml"/><Relationship Id="rId12" Type="http://schemas.openxmlformats.org/officeDocument/2006/relationships/hyperlink" Target="https://spcommreports.ohchr.org/Tmsearch/TMDocuments" TargetMode="External"/><Relationship Id="rId17" Type="http://schemas.openxmlformats.org/officeDocument/2006/relationships/hyperlink" Target="https://undocs.org/A/HRC/46/23" TargetMode="Externa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spcommreports.ohchr.org/Tmsearch/TMDocuments" TargetMode="External"/><Relationship Id="rId20" Type="http://schemas.openxmlformats.org/officeDocument/2006/relationships/hyperlink" Target="https://spcommreports.ohchr.org/TMResultsBase/DownLoadPublicCommunicationFile?gId=2667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commreports.ohchr.org/TMResultsBase/DownLoadPublicCommunicationFile?gId=2649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pcommreports.ohchr.org/TMResultsBase/DownLoadPublicCommunicationFile?gId=26679" TargetMode="External"/><Relationship Id="rId23" Type="http://schemas.openxmlformats.org/officeDocument/2006/relationships/fontTable" Target="fontTable.xml"/><Relationship Id="rId10" Type="http://schemas.openxmlformats.org/officeDocument/2006/relationships/hyperlink" Target="https://undocs.org/A/HRC/46/23" TargetMode="External"/><Relationship Id="rId19" Type="http://schemas.openxmlformats.org/officeDocument/2006/relationships/hyperlink" Target="https://spcommreports.ohchr.org/Tmsearch/TMDocuments" TargetMode="External"/><Relationship Id="rId4" Type="http://schemas.openxmlformats.org/officeDocument/2006/relationships/settings" Target="settings.xml"/><Relationship Id="rId9" Type="http://schemas.openxmlformats.org/officeDocument/2006/relationships/hyperlink" Target="https://tbinternet.ohchr.org/_layouts/15/TreatyBodyExternal/TBSearch.aspx?Lang=en&amp;TreatyID=1&amp;DocTypeID=130" TargetMode="External"/><Relationship Id="rId14" Type="http://schemas.openxmlformats.org/officeDocument/2006/relationships/hyperlink" Target="https://undocs.org/S/2021/1110"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lien\Documents\Custom%20Office%20Templates\TEMPLATE%20Rule%20of%20Law%20Report%2020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AE894-BDA3-425D-BA59-0EDA1AA5B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Rule of Law Report 2022</Template>
  <TotalTime>1</TotalTime>
  <Pages>3</Pages>
  <Words>1412</Words>
  <Characters>8054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Human Rights Regional Office for Europe (OHCHR)</dc:creator>
  <cp:lastModifiedBy>ROE</cp:lastModifiedBy>
  <cp:revision>2</cp:revision>
  <dcterms:created xsi:type="dcterms:W3CDTF">2022-02-07T14:49:00Z</dcterms:created>
  <dcterms:modified xsi:type="dcterms:W3CDTF">2022-02-07T14:49:00Z</dcterms:modified>
</cp:coreProperties>
</file>